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12" w:rsidRDefault="009D7112" w:rsidP="00344E93">
      <w:pPr>
        <w:pStyle w:val="Header"/>
        <w:jc w:val="center"/>
        <w:rPr>
          <w:b/>
          <w:sz w:val="32"/>
          <w:szCs w:val="32"/>
        </w:rPr>
      </w:pPr>
    </w:p>
    <w:p w:rsidR="00F91EA1" w:rsidRPr="00AA4428" w:rsidRDefault="00F91EA1" w:rsidP="00344E93">
      <w:pPr>
        <w:pStyle w:val="Header"/>
        <w:jc w:val="center"/>
        <w:rPr>
          <w:b/>
          <w:sz w:val="32"/>
          <w:szCs w:val="32"/>
          <w:u w:val="single"/>
        </w:rPr>
      </w:pPr>
      <w:r w:rsidRPr="00AA4428">
        <w:rPr>
          <w:b/>
          <w:sz w:val="32"/>
          <w:szCs w:val="32"/>
          <w:u w:val="single"/>
        </w:rPr>
        <w:t xml:space="preserve">DC General Family Shelter </w:t>
      </w:r>
      <w:r w:rsidR="004A5BB1" w:rsidRPr="00AA4428">
        <w:rPr>
          <w:b/>
          <w:sz w:val="32"/>
          <w:szCs w:val="32"/>
          <w:u w:val="single"/>
        </w:rPr>
        <w:t>Replacement</w:t>
      </w:r>
      <w:r w:rsidRPr="00AA4428">
        <w:rPr>
          <w:b/>
          <w:sz w:val="32"/>
          <w:szCs w:val="32"/>
          <w:u w:val="single"/>
        </w:rPr>
        <w:t xml:space="preserve"> Plan</w:t>
      </w:r>
    </w:p>
    <w:p w:rsidR="00B766D8" w:rsidRDefault="00B766D8">
      <w:pPr>
        <w:rPr>
          <w:b/>
          <w:sz w:val="24"/>
          <w:szCs w:val="24"/>
          <w:u w:val="single"/>
        </w:rPr>
      </w:pPr>
    </w:p>
    <w:p w:rsidR="00EE5BE9" w:rsidRPr="009D7112" w:rsidRDefault="005D079A">
      <w:pPr>
        <w:rPr>
          <w:b/>
          <w:sz w:val="28"/>
          <w:szCs w:val="28"/>
          <w:u w:val="single"/>
        </w:rPr>
      </w:pPr>
      <w:r w:rsidRPr="009D7112">
        <w:rPr>
          <w:b/>
          <w:sz w:val="28"/>
          <w:szCs w:val="28"/>
          <w:u w:val="single"/>
        </w:rPr>
        <w:t>Introduction</w:t>
      </w:r>
    </w:p>
    <w:p w:rsidR="00A90BB8" w:rsidRDefault="00AC5F4D" w:rsidP="00AC5F4D">
      <w:pPr>
        <w:rPr>
          <w:sz w:val="24"/>
          <w:szCs w:val="24"/>
        </w:rPr>
      </w:pPr>
      <w:r w:rsidRPr="00AC5F4D">
        <w:rPr>
          <w:sz w:val="24"/>
          <w:szCs w:val="24"/>
        </w:rPr>
        <w:t>In his 2013 Fam</w:t>
      </w:r>
      <w:r w:rsidR="006611BD">
        <w:rPr>
          <w:sz w:val="24"/>
          <w:szCs w:val="24"/>
        </w:rPr>
        <w:t>ily Shelter Restructuring Plan</w:t>
      </w:r>
      <w:r w:rsidRPr="00AC5F4D">
        <w:rPr>
          <w:sz w:val="24"/>
          <w:szCs w:val="24"/>
        </w:rPr>
        <w:t xml:space="preserve">, Mayor Gray laid out his vision to fundamentally change how the District of Columbia meets the needs of families experiencing housing instability. </w:t>
      </w:r>
      <w:r>
        <w:rPr>
          <w:sz w:val="24"/>
          <w:szCs w:val="24"/>
        </w:rPr>
        <w:t xml:space="preserve"> Instead of a </w:t>
      </w:r>
      <w:r w:rsidR="00304423">
        <w:rPr>
          <w:sz w:val="24"/>
          <w:szCs w:val="24"/>
        </w:rPr>
        <w:t xml:space="preserve">one-size fits all </w:t>
      </w:r>
      <w:r w:rsidR="00CB5004">
        <w:rPr>
          <w:sz w:val="24"/>
          <w:szCs w:val="24"/>
        </w:rPr>
        <w:t>“S</w:t>
      </w:r>
      <w:r>
        <w:rPr>
          <w:sz w:val="24"/>
          <w:szCs w:val="24"/>
        </w:rPr>
        <w:t xml:space="preserve">helter </w:t>
      </w:r>
      <w:r w:rsidR="00CB5004">
        <w:rPr>
          <w:sz w:val="24"/>
          <w:szCs w:val="24"/>
        </w:rPr>
        <w:t>F</w:t>
      </w:r>
      <w:r>
        <w:rPr>
          <w:sz w:val="24"/>
          <w:szCs w:val="24"/>
        </w:rPr>
        <w:t>irst</w:t>
      </w:r>
      <w:r w:rsidR="00CB5004">
        <w:rPr>
          <w:sz w:val="24"/>
          <w:szCs w:val="24"/>
        </w:rPr>
        <w:t>”</w:t>
      </w:r>
      <w:r>
        <w:rPr>
          <w:sz w:val="24"/>
          <w:szCs w:val="24"/>
        </w:rPr>
        <w:t xml:space="preserve"> approach, the District </w:t>
      </w:r>
      <w:r w:rsidR="00304423">
        <w:rPr>
          <w:sz w:val="24"/>
          <w:szCs w:val="24"/>
        </w:rPr>
        <w:t xml:space="preserve">is </w:t>
      </w:r>
      <w:r w:rsidR="00AF65E6">
        <w:rPr>
          <w:sz w:val="24"/>
          <w:szCs w:val="24"/>
        </w:rPr>
        <w:t>changing how it helps families find last</w:t>
      </w:r>
      <w:r w:rsidR="00EB78C6">
        <w:rPr>
          <w:sz w:val="24"/>
          <w:szCs w:val="24"/>
        </w:rPr>
        <w:t>ing</w:t>
      </w:r>
      <w:r w:rsidR="00CB5004">
        <w:rPr>
          <w:sz w:val="24"/>
          <w:szCs w:val="24"/>
        </w:rPr>
        <w:t xml:space="preserve"> housing</w:t>
      </w:r>
      <w:r w:rsidR="00AF65E6">
        <w:rPr>
          <w:sz w:val="24"/>
          <w:szCs w:val="24"/>
        </w:rPr>
        <w:t xml:space="preserve"> solutions. </w:t>
      </w:r>
      <w:r w:rsidR="002C17D0">
        <w:rPr>
          <w:sz w:val="24"/>
          <w:szCs w:val="24"/>
        </w:rPr>
        <w:t>T</w:t>
      </w:r>
      <w:r w:rsidR="00AF65E6">
        <w:rPr>
          <w:sz w:val="24"/>
          <w:szCs w:val="24"/>
        </w:rPr>
        <w:t>oday, increased</w:t>
      </w:r>
      <w:r w:rsidR="001415ED">
        <w:rPr>
          <w:sz w:val="24"/>
          <w:szCs w:val="24"/>
        </w:rPr>
        <w:t xml:space="preserve"> prevention</w:t>
      </w:r>
      <w:r w:rsidR="00AF65E6">
        <w:rPr>
          <w:sz w:val="24"/>
          <w:szCs w:val="24"/>
        </w:rPr>
        <w:t xml:space="preserve">, </w:t>
      </w:r>
      <w:r w:rsidR="00A90BB8">
        <w:rPr>
          <w:sz w:val="24"/>
          <w:szCs w:val="24"/>
        </w:rPr>
        <w:t xml:space="preserve">community-based shelters, </w:t>
      </w:r>
      <w:r w:rsidR="00AF65E6">
        <w:rPr>
          <w:sz w:val="24"/>
          <w:szCs w:val="24"/>
        </w:rPr>
        <w:t xml:space="preserve">and </w:t>
      </w:r>
      <w:r w:rsidR="00A90BB8">
        <w:rPr>
          <w:sz w:val="24"/>
          <w:szCs w:val="24"/>
        </w:rPr>
        <w:t xml:space="preserve">targeted </w:t>
      </w:r>
      <w:r w:rsidR="00AF65E6">
        <w:rPr>
          <w:sz w:val="24"/>
          <w:szCs w:val="24"/>
        </w:rPr>
        <w:t xml:space="preserve">housing assistance </w:t>
      </w:r>
      <w:r w:rsidR="00A90BB8">
        <w:rPr>
          <w:sz w:val="24"/>
          <w:szCs w:val="24"/>
        </w:rPr>
        <w:t xml:space="preserve">are </w:t>
      </w:r>
      <w:r w:rsidR="00AF65E6">
        <w:rPr>
          <w:sz w:val="24"/>
          <w:szCs w:val="24"/>
        </w:rPr>
        <w:t>key strategies th</w:t>
      </w:r>
      <w:r w:rsidR="00A90BB8">
        <w:rPr>
          <w:sz w:val="24"/>
          <w:szCs w:val="24"/>
        </w:rPr>
        <w:t xml:space="preserve">e District is using to </w:t>
      </w:r>
      <w:r w:rsidR="002C17D0">
        <w:rPr>
          <w:sz w:val="24"/>
          <w:szCs w:val="24"/>
        </w:rPr>
        <w:t>succe</w:t>
      </w:r>
      <w:r w:rsidR="00A90BB8">
        <w:rPr>
          <w:sz w:val="24"/>
          <w:szCs w:val="24"/>
        </w:rPr>
        <w:t>ssfully end</w:t>
      </w:r>
      <w:r w:rsidR="002C17D0">
        <w:rPr>
          <w:sz w:val="24"/>
          <w:szCs w:val="24"/>
        </w:rPr>
        <w:t xml:space="preserve"> homelessness for hundreds of families</w:t>
      </w:r>
      <w:r w:rsidR="00A90BB8">
        <w:rPr>
          <w:sz w:val="24"/>
          <w:szCs w:val="24"/>
        </w:rPr>
        <w:t xml:space="preserve"> each year</w:t>
      </w:r>
      <w:r w:rsidR="002C17D0">
        <w:rPr>
          <w:sz w:val="24"/>
          <w:szCs w:val="24"/>
        </w:rPr>
        <w:t xml:space="preserve">. </w:t>
      </w:r>
      <w:r w:rsidR="00E41279">
        <w:rPr>
          <w:sz w:val="24"/>
          <w:szCs w:val="24"/>
        </w:rPr>
        <w:t xml:space="preserve"> Closing the large, 288-</w:t>
      </w:r>
      <w:r w:rsidR="001415ED">
        <w:rPr>
          <w:sz w:val="24"/>
          <w:szCs w:val="24"/>
        </w:rPr>
        <w:t>unit</w:t>
      </w:r>
      <w:r w:rsidR="0094794D">
        <w:rPr>
          <w:sz w:val="24"/>
          <w:szCs w:val="24"/>
        </w:rPr>
        <w:t xml:space="preserve"> DC General Family </w:t>
      </w:r>
      <w:r w:rsidR="00E41279">
        <w:rPr>
          <w:sz w:val="24"/>
          <w:szCs w:val="24"/>
        </w:rPr>
        <w:t>S</w:t>
      </w:r>
      <w:r w:rsidR="0094794D">
        <w:rPr>
          <w:sz w:val="24"/>
          <w:szCs w:val="24"/>
        </w:rPr>
        <w:t>helter</w:t>
      </w:r>
      <w:r w:rsidR="00333307">
        <w:rPr>
          <w:sz w:val="24"/>
          <w:szCs w:val="24"/>
        </w:rPr>
        <w:t>, at the earliest possible time,</w:t>
      </w:r>
      <w:r w:rsidR="0094794D">
        <w:rPr>
          <w:sz w:val="24"/>
          <w:szCs w:val="24"/>
        </w:rPr>
        <w:t xml:space="preserve"> is a critical step in completing this transformation.</w:t>
      </w:r>
      <w:r w:rsidR="002C17D0">
        <w:rPr>
          <w:sz w:val="24"/>
          <w:szCs w:val="24"/>
        </w:rPr>
        <w:t xml:space="preserve"> </w:t>
      </w:r>
    </w:p>
    <w:p w:rsidR="002C470C" w:rsidRDefault="0094794D" w:rsidP="00AC5F4D">
      <w:pPr>
        <w:rPr>
          <w:sz w:val="24"/>
          <w:szCs w:val="24"/>
        </w:rPr>
      </w:pPr>
      <w:r>
        <w:rPr>
          <w:sz w:val="24"/>
          <w:szCs w:val="24"/>
        </w:rPr>
        <w:t xml:space="preserve">By and large, </w:t>
      </w:r>
      <w:r w:rsidRPr="00CB5004">
        <w:rPr>
          <w:sz w:val="24"/>
          <w:szCs w:val="24"/>
        </w:rPr>
        <w:t>families experiencing homelessness in the District are not sleeping on the street or in other places not meant for people to live.</w:t>
      </w:r>
      <w:r w:rsidRPr="00CB5004">
        <w:rPr>
          <w:sz w:val="24"/>
          <w:szCs w:val="24"/>
          <w:vertAlign w:val="superscript"/>
        </w:rPr>
        <w:footnoteReference w:id="1"/>
      </w:r>
      <w:r w:rsidRPr="00CB5004">
        <w:rPr>
          <w:sz w:val="24"/>
          <w:szCs w:val="24"/>
        </w:rPr>
        <w:t xml:space="preserve">  Rather, families experiencing homelessness often endure months, if not years, of unstable housing arrangements doubled or tripled up with family and friends, with frequent moves between unstable and unpredictable environments.</w:t>
      </w:r>
      <w:r w:rsidR="002C470C">
        <w:rPr>
          <w:sz w:val="24"/>
          <w:szCs w:val="24"/>
        </w:rPr>
        <w:t xml:space="preserve">  </w:t>
      </w:r>
      <w:r w:rsidR="001415ED">
        <w:rPr>
          <w:sz w:val="24"/>
          <w:szCs w:val="24"/>
        </w:rPr>
        <w:t xml:space="preserve">Rather than continuing the District’s historic reliance on “Shelter First”, or “Shelter on Demand”, which fueled an ever-increasing and unsustainable reliance on shelter, this Administration has taken a fundamentally different approach. </w:t>
      </w:r>
    </w:p>
    <w:p w:rsidR="00C6595C" w:rsidRDefault="00C6595C" w:rsidP="00AC5F4D">
      <w:pPr>
        <w:rPr>
          <w:sz w:val="24"/>
          <w:szCs w:val="24"/>
        </w:rPr>
      </w:pPr>
      <w:r>
        <w:rPr>
          <w:sz w:val="24"/>
          <w:szCs w:val="24"/>
        </w:rPr>
        <w:t>Most importantly, families now have access to a variety of resources to avoid shelter altogether</w:t>
      </w:r>
      <w:r w:rsidR="00DC4B43">
        <w:rPr>
          <w:sz w:val="24"/>
          <w:szCs w:val="24"/>
        </w:rPr>
        <w:t xml:space="preserve">. </w:t>
      </w:r>
      <w:r>
        <w:rPr>
          <w:sz w:val="24"/>
          <w:szCs w:val="24"/>
        </w:rPr>
        <w:t xml:space="preserve">From a re-engineered Virginia Williams Family Resource Center (VWFRC), which serves families seeking homeless services using the framework and resources of </w:t>
      </w:r>
      <w:r w:rsidR="00116E14">
        <w:rPr>
          <w:sz w:val="24"/>
          <w:szCs w:val="24"/>
        </w:rPr>
        <w:t xml:space="preserve">the re-designed </w:t>
      </w:r>
      <w:r>
        <w:rPr>
          <w:sz w:val="24"/>
          <w:szCs w:val="24"/>
        </w:rPr>
        <w:t xml:space="preserve">TANF, to new </w:t>
      </w:r>
      <w:r w:rsidR="00720852">
        <w:rPr>
          <w:sz w:val="24"/>
          <w:szCs w:val="24"/>
        </w:rPr>
        <w:t>community-based Homeless Prevention sites</w:t>
      </w:r>
      <w:r w:rsidR="00FB10CA">
        <w:rPr>
          <w:sz w:val="24"/>
          <w:szCs w:val="24"/>
        </w:rPr>
        <w:t>,</w:t>
      </w:r>
      <w:r>
        <w:rPr>
          <w:sz w:val="24"/>
          <w:szCs w:val="24"/>
        </w:rPr>
        <w:t xml:space="preserve"> more and more families are getting the support </w:t>
      </w:r>
      <w:r w:rsidR="00116E14">
        <w:rPr>
          <w:sz w:val="24"/>
          <w:szCs w:val="24"/>
        </w:rPr>
        <w:t xml:space="preserve">and resources </w:t>
      </w:r>
      <w:r>
        <w:rPr>
          <w:sz w:val="24"/>
          <w:szCs w:val="24"/>
        </w:rPr>
        <w:t>they need to stay in their communities</w:t>
      </w:r>
      <w:r w:rsidR="005D4DC9">
        <w:rPr>
          <w:sz w:val="24"/>
          <w:szCs w:val="24"/>
        </w:rPr>
        <w:t xml:space="preserve"> while they work to </w:t>
      </w:r>
      <w:r>
        <w:rPr>
          <w:sz w:val="24"/>
          <w:szCs w:val="24"/>
        </w:rPr>
        <w:t>increase their employment and housing stability.</w:t>
      </w:r>
    </w:p>
    <w:p w:rsidR="009D7112" w:rsidRDefault="005D4DC9" w:rsidP="00AC5F4D">
      <w:pPr>
        <w:rPr>
          <w:sz w:val="24"/>
          <w:szCs w:val="24"/>
        </w:rPr>
      </w:pPr>
      <w:r>
        <w:rPr>
          <w:sz w:val="24"/>
          <w:szCs w:val="24"/>
        </w:rPr>
        <w:t xml:space="preserve">For </w:t>
      </w:r>
      <w:r w:rsidR="00DC4B43">
        <w:rPr>
          <w:sz w:val="24"/>
          <w:szCs w:val="24"/>
        </w:rPr>
        <w:t>families</w:t>
      </w:r>
      <w:r>
        <w:rPr>
          <w:sz w:val="24"/>
          <w:szCs w:val="24"/>
        </w:rPr>
        <w:t xml:space="preserve"> that have no alternatives and must enter shelter,</w:t>
      </w:r>
      <w:r w:rsidR="00DC4B43">
        <w:rPr>
          <w:sz w:val="24"/>
          <w:szCs w:val="24"/>
        </w:rPr>
        <w:t xml:space="preserve"> </w:t>
      </w:r>
      <w:r w:rsidR="00AC0329">
        <w:rPr>
          <w:sz w:val="24"/>
          <w:szCs w:val="24"/>
        </w:rPr>
        <w:t>the District is building a consistent and coordinated approach to help families</w:t>
      </w:r>
      <w:r w:rsidR="0024245C">
        <w:rPr>
          <w:sz w:val="24"/>
          <w:szCs w:val="24"/>
        </w:rPr>
        <w:t xml:space="preserve"> use their time in shelter</w:t>
      </w:r>
      <w:r w:rsidR="009D7112">
        <w:rPr>
          <w:sz w:val="24"/>
          <w:szCs w:val="24"/>
        </w:rPr>
        <w:t xml:space="preserve"> to prepare for</w:t>
      </w:r>
      <w:r w:rsidR="0024245C">
        <w:rPr>
          <w:sz w:val="24"/>
          <w:szCs w:val="24"/>
        </w:rPr>
        <w:t xml:space="preserve"> and successfully exit </w:t>
      </w:r>
      <w:r w:rsidR="00EB78C6">
        <w:rPr>
          <w:sz w:val="24"/>
          <w:szCs w:val="24"/>
        </w:rPr>
        <w:t xml:space="preserve">as quickly as possible </w:t>
      </w:r>
      <w:r w:rsidR="0024245C">
        <w:rPr>
          <w:sz w:val="24"/>
          <w:szCs w:val="24"/>
        </w:rPr>
        <w:t>to permanent housing.  Using key strategies, such as implementing a common assessment tool</w:t>
      </w:r>
      <w:r w:rsidR="0024245C">
        <w:rPr>
          <w:rStyle w:val="FootnoteReference"/>
          <w:sz w:val="24"/>
          <w:szCs w:val="24"/>
        </w:rPr>
        <w:footnoteReference w:id="2"/>
      </w:r>
      <w:r w:rsidR="0024245C">
        <w:rPr>
          <w:sz w:val="24"/>
          <w:szCs w:val="24"/>
        </w:rPr>
        <w:t xml:space="preserve"> that helps identify the appropriate housing </w:t>
      </w:r>
    </w:p>
    <w:p w:rsidR="009D7112" w:rsidRDefault="009D7112" w:rsidP="00AC5F4D">
      <w:pPr>
        <w:rPr>
          <w:sz w:val="24"/>
          <w:szCs w:val="24"/>
        </w:rPr>
      </w:pPr>
    </w:p>
    <w:p w:rsidR="0024245C" w:rsidRDefault="0024245C" w:rsidP="00AC5F4D">
      <w:pPr>
        <w:rPr>
          <w:sz w:val="24"/>
          <w:szCs w:val="24"/>
        </w:rPr>
      </w:pPr>
      <w:r>
        <w:rPr>
          <w:sz w:val="24"/>
          <w:szCs w:val="24"/>
        </w:rPr>
        <w:t>assistance for each family</w:t>
      </w:r>
      <w:r w:rsidR="009D7112">
        <w:rPr>
          <w:sz w:val="24"/>
          <w:szCs w:val="24"/>
        </w:rPr>
        <w:t>,</w:t>
      </w:r>
      <w:r>
        <w:rPr>
          <w:sz w:val="24"/>
          <w:szCs w:val="24"/>
        </w:rPr>
        <w:t xml:space="preserve"> </w:t>
      </w:r>
      <w:r w:rsidR="005B462A">
        <w:rPr>
          <w:sz w:val="24"/>
          <w:szCs w:val="24"/>
        </w:rPr>
        <w:t xml:space="preserve">and </w:t>
      </w:r>
      <w:r>
        <w:rPr>
          <w:sz w:val="24"/>
          <w:szCs w:val="24"/>
        </w:rPr>
        <w:t>develop</w:t>
      </w:r>
      <w:r w:rsidR="005B462A">
        <w:rPr>
          <w:sz w:val="24"/>
          <w:szCs w:val="24"/>
        </w:rPr>
        <w:t xml:space="preserve">ing </w:t>
      </w:r>
      <w:r>
        <w:rPr>
          <w:sz w:val="24"/>
          <w:szCs w:val="24"/>
        </w:rPr>
        <w:t xml:space="preserve">a revolving inventory of housing units through the 500 Families Campaign, </w:t>
      </w:r>
      <w:r w:rsidR="005B462A">
        <w:rPr>
          <w:sz w:val="24"/>
          <w:szCs w:val="24"/>
        </w:rPr>
        <w:t xml:space="preserve">over </w:t>
      </w:r>
      <w:r>
        <w:rPr>
          <w:sz w:val="24"/>
          <w:szCs w:val="24"/>
        </w:rPr>
        <w:t xml:space="preserve">500 families </w:t>
      </w:r>
      <w:r w:rsidR="005B462A">
        <w:rPr>
          <w:sz w:val="24"/>
          <w:szCs w:val="24"/>
        </w:rPr>
        <w:t xml:space="preserve">have exited shelter to permanent housing </w:t>
      </w:r>
      <w:r>
        <w:rPr>
          <w:sz w:val="24"/>
          <w:szCs w:val="24"/>
        </w:rPr>
        <w:t xml:space="preserve">since the end of January 2014, when shelter placements were at their highest.   </w:t>
      </w:r>
    </w:p>
    <w:p w:rsidR="000D5351" w:rsidRDefault="000D5351" w:rsidP="00AC5F4D">
      <w:pPr>
        <w:rPr>
          <w:sz w:val="24"/>
          <w:szCs w:val="24"/>
        </w:rPr>
      </w:pPr>
      <w:r>
        <w:rPr>
          <w:sz w:val="24"/>
          <w:szCs w:val="24"/>
        </w:rPr>
        <w:t xml:space="preserve">Families exiting shelter receive supportive services along with financial housing assistance.  </w:t>
      </w:r>
      <w:r w:rsidR="003310C5">
        <w:rPr>
          <w:sz w:val="24"/>
          <w:szCs w:val="24"/>
        </w:rPr>
        <w:t xml:space="preserve">But families need the </w:t>
      </w:r>
      <w:r>
        <w:rPr>
          <w:sz w:val="24"/>
          <w:szCs w:val="24"/>
        </w:rPr>
        <w:t>meaningful and lasting support systems</w:t>
      </w:r>
      <w:r w:rsidR="003310C5">
        <w:rPr>
          <w:sz w:val="24"/>
          <w:szCs w:val="24"/>
        </w:rPr>
        <w:t xml:space="preserve"> </w:t>
      </w:r>
      <w:r w:rsidR="00B93F49">
        <w:rPr>
          <w:sz w:val="24"/>
          <w:szCs w:val="24"/>
        </w:rPr>
        <w:t xml:space="preserve">that </w:t>
      </w:r>
      <w:r w:rsidR="003310C5">
        <w:rPr>
          <w:sz w:val="24"/>
          <w:szCs w:val="24"/>
        </w:rPr>
        <w:t xml:space="preserve">only community, friends and family can provide.  </w:t>
      </w:r>
      <w:r w:rsidR="009D7112">
        <w:rPr>
          <w:sz w:val="24"/>
          <w:szCs w:val="24"/>
        </w:rPr>
        <w:t xml:space="preserve">Research shows that families who have strong connections to their community are more likely to maintain their housing.  </w:t>
      </w:r>
      <w:r w:rsidR="003310C5">
        <w:rPr>
          <w:sz w:val="24"/>
          <w:szCs w:val="24"/>
        </w:rPr>
        <w:t>To help strengthen a family’s community support</w:t>
      </w:r>
      <w:r w:rsidR="009D7112">
        <w:rPr>
          <w:sz w:val="24"/>
          <w:szCs w:val="24"/>
        </w:rPr>
        <w:t xml:space="preserve"> and reduce the need for a family to return to shelter</w:t>
      </w:r>
      <w:r>
        <w:rPr>
          <w:sz w:val="24"/>
          <w:szCs w:val="24"/>
        </w:rPr>
        <w:t xml:space="preserve">, the District has partnered with the faith community </w:t>
      </w:r>
      <w:r w:rsidR="003310C5">
        <w:rPr>
          <w:sz w:val="24"/>
          <w:szCs w:val="24"/>
        </w:rPr>
        <w:t xml:space="preserve">in an innovative program </w:t>
      </w:r>
      <w:r w:rsidR="00E41279">
        <w:rPr>
          <w:sz w:val="24"/>
          <w:szCs w:val="24"/>
        </w:rPr>
        <w:t>called One Congregation, One Family</w:t>
      </w:r>
      <w:r w:rsidR="00827985">
        <w:rPr>
          <w:sz w:val="24"/>
          <w:szCs w:val="24"/>
        </w:rPr>
        <w:t xml:space="preserve">.  Through this initiative, </w:t>
      </w:r>
      <w:r>
        <w:rPr>
          <w:sz w:val="24"/>
          <w:szCs w:val="24"/>
        </w:rPr>
        <w:t>families</w:t>
      </w:r>
      <w:r w:rsidR="003310C5">
        <w:rPr>
          <w:sz w:val="24"/>
          <w:szCs w:val="24"/>
        </w:rPr>
        <w:t xml:space="preserve"> </w:t>
      </w:r>
      <w:r w:rsidR="00827985">
        <w:rPr>
          <w:sz w:val="24"/>
          <w:szCs w:val="24"/>
        </w:rPr>
        <w:t xml:space="preserve">have the opportunity to have </w:t>
      </w:r>
      <w:r w:rsidR="003310C5">
        <w:rPr>
          <w:sz w:val="24"/>
          <w:szCs w:val="24"/>
        </w:rPr>
        <w:t xml:space="preserve">a mentoring team.  These teams can provide a family with practical life skills, caring encouragement, and access to a range of talents and supports that can last a lifetime.  </w:t>
      </w:r>
    </w:p>
    <w:p w:rsidR="00F119AA" w:rsidRPr="006C1087" w:rsidRDefault="006C1087" w:rsidP="002F591D">
      <w:pPr>
        <w:rPr>
          <w:sz w:val="24"/>
          <w:szCs w:val="24"/>
        </w:rPr>
      </w:pPr>
      <w:r>
        <w:rPr>
          <w:sz w:val="24"/>
          <w:szCs w:val="24"/>
        </w:rPr>
        <w:t xml:space="preserve">Transforming the District’s approach to helping families experiencing housing instability is well underway.  Closing the DC General Family </w:t>
      </w:r>
      <w:r w:rsidR="00E41279">
        <w:rPr>
          <w:sz w:val="24"/>
          <w:szCs w:val="24"/>
        </w:rPr>
        <w:t>S</w:t>
      </w:r>
      <w:r>
        <w:rPr>
          <w:sz w:val="24"/>
          <w:szCs w:val="24"/>
        </w:rPr>
        <w:t xml:space="preserve">helter, which was not designed to be a family shelter and has provided a stop-gap solution at best, is in the best interests of families and the District.   </w:t>
      </w:r>
    </w:p>
    <w:p w:rsidR="002F591D" w:rsidRPr="009D7112" w:rsidRDefault="002F591D" w:rsidP="009D7112">
      <w:pPr>
        <w:jc w:val="center"/>
        <w:rPr>
          <w:sz w:val="28"/>
          <w:szCs w:val="28"/>
        </w:rPr>
      </w:pPr>
      <w:r w:rsidRPr="009D7112">
        <w:rPr>
          <w:b/>
          <w:sz w:val="28"/>
          <w:szCs w:val="28"/>
          <w:u w:val="single"/>
        </w:rPr>
        <w:t xml:space="preserve">DC General Family Shelter </w:t>
      </w:r>
      <w:r w:rsidR="00F42535">
        <w:rPr>
          <w:b/>
          <w:sz w:val="28"/>
          <w:szCs w:val="28"/>
          <w:u w:val="single"/>
        </w:rPr>
        <w:t xml:space="preserve">Replacement </w:t>
      </w:r>
      <w:r w:rsidRPr="009D7112">
        <w:rPr>
          <w:b/>
          <w:sz w:val="28"/>
          <w:szCs w:val="28"/>
          <w:u w:val="single"/>
        </w:rPr>
        <w:t>Plan</w:t>
      </w:r>
    </w:p>
    <w:p w:rsidR="00F119AA" w:rsidRDefault="00F119AA" w:rsidP="00F119AA">
      <w:pPr>
        <w:rPr>
          <w:sz w:val="24"/>
          <w:szCs w:val="24"/>
        </w:rPr>
      </w:pPr>
      <w:r>
        <w:rPr>
          <w:sz w:val="24"/>
          <w:szCs w:val="24"/>
        </w:rPr>
        <w:t xml:space="preserve">Currently, the District provides 121 units through community-based shelter programs of between 20 and 45 units at each location, and 288 units at the DC General </w:t>
      </w:r>
      <w:r w:rsidR="00E41279">
        <w:rPr>
          <w:sz w:val="24"/>
          <w:szCs w:val="24"/>
        </w:rPr>
        <w:t xml:space="preserve">Family </w:t>
      </w:r>
      <w:r>
        <w:rPr>
          <w:sz w:val="24"/>
          <w:szCs w:val="24"/>
        </w:rPr>
        <w:t xml:space="preserve">Shelter.  The DC General Family Shelter Closure Plan lays out the specific facilities needed in order to close the DC General </w:t>
      </w:r>
      <w:r w:rsidR="00E41279">
        <w:rPr>
          <w:sz w:val="24"/>
          <w:szCs w:val="24"/>
        </w:rPr>
        <w:t xml:space="preserve">Family </w:t>
      </w:r>
      <w:r>
        <w:rPr>
          <w:sz w:val="24"/>
          <w:szCs w:val="24"/>
        </w:rPr>
        <w:t>Shelter</w:t>
      </w:r>
      <w:r w:rsidR="006C1087">
        <w:rPr>
          <w:sz w:val="24"/>
          <w:szCs w:val="24"/>
        </w:rPr>
        <w:t xml:space="preserve"> under two basic options</w:t>
      </w:r>
      <w:r>
        <w:rPr>
          <w:sz w:val="24"/>
          <w:szCs w:val="24"/>
        </w:rPr>
        <w:t xml:space="preserve">, including legal considerations, facility development strategies and processes, cost estimates, closure schedule options and </w:t>
      </w:r>
      <w:r w:rsidR="00827985">
        <w:rPr>
          <w:sz w:val="24"/>
          <w:szCs w:val="24"/>
        </w:rPr>
        <w:t>timeline considerations</w:t>
      </w:r>
      <w:r>
        <w:rPr>
          <w:sz w:val="24"/>
          <w:szCs w:val="24"/>
        </w:rPr>
        <w:t>.</w:t>
      </w:r>
    </w:p>
    <w:p w:rsidR="001D18FB" w:rsidRDefault="00F119AA" w:rsidP="00F119AA">
      <w:pPr>
        <w:rPr>
          <w:sz w:val="24"/>
          <w:szCs w:val="24"/>
        </w:rPr>
      </w:pPr>
      <w:r>
        <w:rPr>
          <w:sz w:val="24"/>
          <w:szCs w:val="24"/>
        </w:rPr>
        <w:t xml:space="preserve">The District is committed to closing the </w:t>
      </w:r>
      <w:r w:rsidR="0078220A">
        <w:rPr>
          <w:sz w:val="24"/>
          <w:szCs w:val="24"/>
        </w:rPr>
        <w:t>DC General Family Shelter</w:t>
      </w:r>
      <w:r>
        <w:rPr>
          <w:sz w:val="24"/>
          <w:szCs w:val="24"/>
        </w:rPr>
        <w:t xml:space="preserve"> at the earliest possible time.  </w:t>
      </w:r>
      <w:r w:rsidR="001D18FB">
        <w:rPr>
          <w:sz w:val="24"/>
          <w:szCs w:val="24"/>
        </w:rPr>
        <w:t>The Plan recommends</w:t>
      </w:r>
      <w:r w:rsidR="00FB10CA">
        <w:rPr>
          <w:sz w:val="24"/>
          <w:szCs w:val="24"/>
        </w:rPr>
        <w:t xml:space="preserve"> </w:t>
      </w:r>
      <w:r w:rsidR="001D18FB">
        <w:rPr>
          <w:sz w:val="24"/>
          <w:szCs w:val="24"/>
        </w:rPr>
        <w:t xml:space="preserve">a one-to-one replacement of the number of units currently provided at the </w:t>
      </w:r>
      <w:r w:rsidR="0078220A">
        <w:rPr>
          <w:sz w:val="24"/>
          <w:szCs w:val="24"/>
        </w:rPr>
        <w:t>DC General Family Shelter</w:t>
      </w:r>
      <w:r w:rsidR="006C1087">
        <w:rPr>
          <w:sz w:val="24"/>
          <w:szCs w:val="24"/>
        </w:rPr>
        <w:t xml:space="preserve"> be available in other, more appropriate </w:t>
      </w:r>
      <w:r w:rsidR="001D18FB">
        <w:rPr>
          <w:sz w:val="24"/>
          <w:szCs w:val="24"/>
        </w:rPr>
        <w:t xml:space="preserve">facilities before closure.  </w:t>
      </w:r>
      <w:r w:rsidR="006C1087">
        <w:rPr>
          <w:sz w:val="24"/>
          <w:szCs w:val="24"/>
        </w:rPr>
        <w:t>T</w:t>
      </w:r>
      <w:r w:rsidR="00D12D31">
        <w:rPr>
          <w:sz w:val="24"/>
          <w:szCs w:val="24"/>
        </w:rPr>
        <w:t xml:space="preserve">his Plan </w:t>
      </w:r>
      <w:r w:rsidR="006C1087">
        <w:rPr>
          <w:sz w:val="24"/>
          <w:szCs w:val="24"/>
        </w:rPr>
        <w:t xml:space="preserve">also </w:t>
      </w:r>
      <w:r w:rsidR="00D12D31">
        <w:rPr>
          <w:sz w:val="24"/>
          <w:szCs w:val="24"/>
        </w:rPr>
        <w:t>recommends that</w:t>
      </w:r>
      <w:r w:rsidR="00F42535">
        <w:rPr>
          <w:sz w:val="24"/>
          <w:szCs w:val="24"/>
        </w:rPr>
        <w:t xml:space="preserve"> at least </w:t>
      </w:r>
      <w:r w:rsidR="006C1087">
        <w:rPr>
          <w:sz w:val="24"/>
          <w:szCs w:val="24"/>
        </w:rPr>
        <w:t xml:space="preserve">the </w:t>
      </w:r>
      <w:r w:rsidR="00C215CB">
        <w:rPr>
          <w:sz w:val="24"/>
          <w:szCs w:val="24"/>
        </w:rPr>
        <w:t xml:space="preserve">main building of the </w:t>
      </w:r>
      <w:r w:rsidR="0078220A">
        <w:rPr>
          <w:sz w:val="24"/>
          <w:szCs w:val="24"/>
        </w:rPr>
        <w:t>DC General Family Shelter</w:t>
      </w:r>
      <w:r w:rsidR="00C215CB">
        <w:rPr>
          <w:sz w:val="24"/>
          <w:szCs w:val="24"/>
        </w:rPr>
        <w:t xml:space="preserve"> </w:t>
      </w:r>
      <w:r w:rsidR="00D12D31">
        <w:rPr>
          <w:sz w:val="24"/>
          <w:szCs w:val="24"/>
        </w:rPr>
        <w:t>should be closed in its entirety</w:t>
      </w:r>
      <w:r w:rsidR="006C1087">
        <w:rPr>
          <w:sz w:val="24"/>
          <w:szCs w:val="24"/>
        </w:rPr>
        <w:t xml:space="preserve"> all at once</w:t>
      </w:r>
      <w:r w:rsidR="00D12D31">
        <w:rPr>
          <w:sz w:val="24"/>
          <w:szCs w:val="24"/>
        </w:rPr>
        <w:t>,</w:t>
      </w:r>
      <w:r w:rsidR="00F42535">
        <w:rPr>
          <w:rStyle w:val="FootnoteReference"/>
          <w:sz w:val="24"/>
          <w:szCs w:val="24"/>
        </w:rPr>
        <w:footnoteReference w:id="3"/>
      </w:r>
      <w:r w:rsidR="00D12D31">
        <w:rPr>
          <w:sz w:val="24"/>
          <w:szCs w:val="24"/>
        </w:rPr>
        <w:t xml:space="preserve"> rather than in a piecemeal fashion, </w:t>
      </w:r>
      <w:r w:rsidR="00C215CB">
        <w:rPr>
          <w:sz w:val="24"/>
          <w:szCs w:val="24"/>
        </w:rPr>
        <w:t xml:space="preserve">to avoid </w:t>
      </w:r>
      <w:r w:rsidR="00D12D31">
        <w:rPr>
          <w:sz w:val="24"/>
          <w:szCs w:val="24"/>
        </w:rPr>
        <w:t xml:space="preserve">an </w:t>
      </w:r>
      <w:r w:rsidR="00C215CB">
        <w:rPr>
          <w:sz w:val="24"/>
          <w:szCs w:val="24"/>
        </w:rPr>
        <w:t xml:space="preserve">unplanned expansion of the overall shelter capacity.  </w:t>
      </w:r>
    </w:p>
    <w:p w:rsidR="009D7112" w:rsidRDefault="009D7112" w:rsidP="001372F8">
      <w:pPr>
        <w:rPr>
          <w:i/>
          <w:sz w:val="24"/>
          <w:szCs w:val="24"/>
          <w:u w:val="single"/>
        </w:rPr>
      </w:pPr>
    </w:p>
    <w:p w:rsidR="001372F8" w:rsidRPr="009D7112" w:rsidRDefault="001372F8" w:rsidP="001372F8">
      <w:pPr>
        <w:rPr>
          <w:b/>
          <w:sz w:val="24"/>
          <w:szCs w:val="24"/>
        </w:rPr>
      </w:pPr>
      <w:r w:rsidRPr="009D7112">
        <w:rPr>
          <w:b/>
          <w:i/>
          <w:sz w:val="24"/>
          <w:szCs w:val="24"/>
          <w:u w:val="single"/>
        </w:rPr>
        <w:t>Development Co</w:t>
      </w:r>
      <w:r w:rsidR="009D7112">
        <w:rPr>
          <w:b/>
          <w:i/>
          <w:sz w:val="24"/>
          <w:szCs w:val="24"/>
          <w:u w:val="single"/>
        </w:rPr>
        <w:t>nsiderations</w:t>
      </w:r>
    </w:p>
    <w:p w:rsidR="001372F8" w:rsidRDefault="001372F8" w:rsidP="001372F8">
      <w:pPr>
        <w:rPr>
          <w:sz w:val="24"/>
          <w:szCs w:val="24"/>
        </w:rPr>
      </w:pPr>
      <w:r w:rsidRPr="00047221">
        <w:rPr>
          <w:sz w:val="24"/>
          <w:szCs w:val="24"/>
        </w:rPr>
        <w:t xml:space="preserve">The District of Columbia Department of General Services (DGS) is the agency responsible for the acquisition and development of the facilities that will provide the replacement capacity needed to support the closure of the </w:t>
      </w:r>
      <w:r w:rsidR="0078220A">
        <w:rPr>
          <w:sz w:val="24"/>
          <w:szCs w:val="24"/>
        </w:rPr>
        <w:t>DC General Family Shelter</w:t>
      </w:r>
      <w:r w:rsidRPr="00047221">
        <w:rPr>
          <w:sz w:val="24"/>
          <w:szCs w:val="24"/>
        </w:rPr>
        <w:t>.</w:t>
      </w:r>
      <w:r w:rsidR="00096FEC">
        <w:rPr>
          <w:sz w:val="24"/>
          <w:szCs w:val="24"/>
        </w:rPr>
        <w:t xml:space="preserve"> </w:t>
      </w:r>
      <w:r>
        <w:rPr>
          <w:sz w:val="24"/>
          <w:szCs w:val="24"/>
        </w:rPr>
        <w:t xml:space="preserve">DGS has the option of bringing these facilities online through lease, purchase, or construction.  Ideally, these facilities should </w:t>
      </w:r>
      <w:r w:rsidRPr="00816F23">
        <w:rPr>
          <w:sz w:val="24"/>
          <w:szCs w:val="24"/>
        </w:rPr>
        <w:t xml:space="preserve">be </w:t>
      </w:r>
      <w:r w:rsidR="00A70F10">
        <w:rPr>
          <w:sz w:val="24"/>
          <w:szCs w:val="24"/>
        </w:rPr>
        <w:t>r</w:t>
      </w:r>
      <w:r w:rsidRPr="00816F23">
        <w:rPr>
          <w:sz w:val="24"/>
          <w:szCs w:val="24"/>
        </w:rPr>
        <w:t xml:space="preserve">eady </w:t>
      </w:r>
      <w:r>
        <w:rPr>
          <w:sz w:val="24"/>
          <w:szCs w:val="24"/>
        </w:rPr>
        <w:t>for occupancy</w:t>
      </w:r>
      <w:r w:rsidRPr="00816F23">
        <w:rPr>
          <w:sz w:val="24"/>
          <w:szCs w:val="24"/>
        </w:rPr>
        <w:t xml:space="preserve"> before the </w:t>
      </w:r>
      <w:r>
        <w:rPr>
          <w:sz w:val="24"/>
          <w:szCs w:val="24"/>
        </w:rPr>
        <w:t>start of the FY 16 hypothermia season</w:t>
      </w:r>
      <w:r w:rsidRPr="00816F23">
        <w:rPr>
          <w:sz w:val="24"/>
          <w:szCs w:val="24"/>
        </w:rPr>
        <w:t xml:space="preserve">, i.e. before November 1, 2015.  </w:t>
      </w:r>
    </w:p>
    <w:p w:rsidR="001372F8" w:rsidRDefault="001372F8" w:rsidP="001372F8">
      <w:pPr>
        <w:rPr>
          <w:sz w:val="24"/>
          <w:szCs w:val="24"/>
        </w:rPr>
      </w:pPr>
      <w:r w:rsidRPr="00911112">
        <w:rPr>
          <w:sz w:val="24"/>
          <w:szCs w:val="24"/>
        </w:rPr>
        <w:t xml:space="preserve">To accomplish this, DGS is </w:t>
      </w:r>
      <w:r>
        <w:rPr>
          <w:sz w:val="24"/>
          <w:szCs w:val="24"/>
        </w:rPr>
        <w:t>pursuing</w:t>
      </w:r>
      <w:r w:rsidRPr="00911112">
        <w:rPr>
          <w:sz w:val="24"/>
          <w:szCs w:val="24"/>
        </w:rPr>
        <w:t xml:space="preserve"> two primary strategies</w:t>
      </w:r>
      <w:r>
        <w:rPr>
          <w:sz w:val="24"/>
          <w:szCs w:val="24"/>
        </w:rPr>
        <w:t xml:space="preserve"> simultaneously, to maximize their ability to identify sites and bring them on-line as quickly as possible: </w:t>
      </w:r>
    </w:p>
    <w:p w:rsidR="001372F8" w:rsidRDefault="001372F8" w:rsidP="001372F8">
      <w:pPr>
        <w:rPr>
          <w:sz w:val="24"/>
          <w:szCs w:val="24"/>
        </w:rPr>
      </w:pPr>
      <w:r>
        <w:rPr>
          <w:sz w:val="24"/>
          <w:szCs w:val="24"/>
        </w:rPr>
        <w:t>(1) A S</w:t>
      </w:r>
      <w:r w:rsidRPr="00911112">
        <w:rPr>
          <w:sz w:val="24"/>
          <w:szCs w:val="24"/>
        </w:rPr>
        <w:t xml:space="preserve">olicitation </w:t>
      </w:r>
      <w:r>
        <w:rPr>
          <w:sz w:val="24"/>
          <w:szCs w:val="24"/>
        </w:rPr>
        <w:t xml:space="preserve">for Offers </w:t>
      </w:r>
      <w:r w:rsidR="00E41279">
        <w:rPr>
          <w:sz w:val="24"/>
          <w:szCs w:val="24"/>
        </w:rPr>
        <w:t xml:space="preserve">(SFO) </w:t>
      </w:r>
      <w:r>
        <w:rPr>
          <w:sz w:val="24"/>
          <w:szCs w:val="24"/>
        </w:rPr>
        <w:t>to private owners and developers</w:t>
      </w:r>
      <w:r w:rsidR="00026EC5">
        <w:rPr>
          <w:sz w:val="24"/>
          <w:szCs w:val="24"/>
        </w:rPr>
        <w:t>, resulting in a leased building</w:t>
      </w:r>
      <w:r>
        <w:rPr>
          <w:sz w:val="24"/>
          <w:szCs w:val="24"/>
        </w:rPr>
        <w:t>; and</w:t>
      </w:r>
      <w:r w:rsidR="00E41279">
        <w:rPr>
          <w:sz w:val="24"/>
          <w:szCs w:val="24"/>
        </w:rPr>
        <w:t>,</w:t>
      </w:r>
      <w:r>
        <w:rPr>
          <w:sz w:val="24"/>
          <w:szCs w:val="24"/>
        </w:rPr>
        <w:t xml:space="preserve"> </w:t>
      </w:r>
    </w:p>
    <w:p w:rsidR="001372F8" w:rsidRDefault="001372F8" w:rsidP="001372F8">
      <w:pPr>
        <w:rPr>
          <w:sz w:val="24"/>
          <w:szCs w:val="24"/>
        </w:rPr>
      </w:pPr>
      <w:r>
        <w:rPr>
          <w:sz w:val="24"/>
          <w:szCs w:val="24"/>
        </w:rPr>
        <w:t>(2) A review of existing DGS inventory for District-owned sites to develop</w:t>
      </w:r>
      <w:r w:rsidR="005D5FCE">
        <w:rPr>
          <w:sz w:val="24"/>
          <w:szCs w:val="24"/>
        </w:rPr>
        <w:t xml:space="preserve"> through new construction</w:t>
      </w:r>
      <w:r>
        <w:rPr>
          <w:sz w:val="24"/>
          <w:szCs w:val="24"/>
        </w:rPr>
        <w:t xml:space="preserve">. </w:t>
      </w:r>
    </w:p>
    <w:p w:rsidR="005D5FCE" w:rsidRDefault="005D5FCE" w:rsidP="001372F8">
      <w:pPr>
        <w:rPr>
          <w:sz w:val="24"/>
          <w:szCs w:val="24"/>
        </w:rPr>
      </w:pPr>
      <w:r>
        <w:rPr>
          <w:sz w:val="24"/>
          <w:szCs w:val="24"/>
        </w:rPr>
        <w:t>T</w:t>
      </w:r>
      <w:r w:rsidR="001372F8">
        <w:rPr>
          <w:sz w:val="24"/>
          <w:szCs w:val="24"/>
        </w:rPr>
        <w:t>he District’s</w:t>
      </w:r>
      <w:r>
        <w:rPr>
          <w:sz w:val="24"/>
          <w:szCs w:val="24"/>
        </w:rPr>
        <w:t xml:space="preserve"> Solicitation for Offers (SFO) </w:t>
      </w:r>
      <w:r w:rsidR="001372F8">
        <w:rPr>
          <w:sz w:val="24"/>
          <w:szCs w:val="24"/>
        </w:rPr>
        <w:t>was released on Frida</w:t>
      </w:r>
      <w:r w:rsidR="006719BC">
        <w:rPr>
          <w:sz w:val="24"/>
          <w:szCs w:val="24"/>
        </w:rPr>
        <w:t>y, September 26, 2014</w:t>
      </w:r>
      <w:r w:rsidR="001372F8">
        <w:rPr>
          <w:sz w:val="24"/>
          <w:szCs w:val="24"/>
        </w:rPr>
        <w:t xml:space="preserve">.  </w:t>
      </w:r>
      <w:r w:rsidR="00B879A6">
        <w:rPr>
          <w:sz w:val="24"/>
          <w:szCs w:val="24"/>
        </w:rPr>
        <w:t>It is a “rolling solicitation”</w:t>
      </w:r>
      <w:r w:rsidRPr="00047221">
        <w:rPr>
          <w:sz w:val="24"/>
          <w:szCs w:val="24"/>
        </w:rPr>
        <w:t>, which allows the District to review sites and proposals as they are received, and negotiate lease terms expeditiously.  To further accelerate the process, the District will also encourage developers to initiate design and other development work upon executing a letter of intent.</w:t>
      </w:r>
      <w:r w:rsidR="00DE5D2C">
        <w:rPr>
          <w:sz w:val="24"/>
          <w:szCs w:val="24"/>
        </w:rPr>
        <w:t xml:space="preserve">  Below is a generic summary schedule for these solicitations:</w:t>
      </w:r>
    </w:p>
    <w:p w:rsidR="00B447E6" w:rsidRPr="00A70F10" w:rsidRDefault="00B447E6" w:rsidP="001372F8">
      <w:pPr>
        <w:rPr>
          <w:b/>
          <w:sz w:val="24"/>
          <w:szCs w:val="24"/>
        </w:rPr>
      </w:pPr>
      <w:r w:rsidRPr="00A70F10">
        <w:rPr>
          <w:b/>
          <w:sz w:val="24"/>
          <w:szCs w:val="24"/>
        </w:rPr>
        <w:t>Solicitation for Offers</w:t>
      </w:r>
      <w:r w:rsidR="001F7789">
        <w:rPr>
          <w:b/>
          <w:sz w:val="24"/>
          <w:szCs w:val="24"/>
        </w:rPr>
        <w:t xml:space="preserve"> (SFO)</w:t>
      </w:r>
    </w:p>
    <w:tbl>
      <w:tblPr>
        <w:tblStyle w:val="LightShading-Accent2"/>
        <w:tblW w:w="0" w:type="auto"/>
        <w:tblLook w:val="04A0" w:firstRow="1" w:lastRow="0" w:firstColumn="1" w:lastColumn="0" w:noHBand="0" w:noVBand="1"/>
      </w:tblPr>
      <w:tblGrid>
        <w:gridCol w:w="1069"/>
        <w:gridCol w:w="461"/>
        <w:gridCol w:w="489"/>
        <w:gridCol w:w="475"/>
        <w:gridCol w:w="500"/>
        <w:gridCol w:w="460"/>
        <w:gridCol w:w="492"/>
        <w:gridCol w:w="460"/>
        <w:gridCol w:w="511"/>
        <w:gridCol w:w="449"/>
        <w:gridCol w:w="417"/>
        <w:gridCol w:w="475"/>
        <w:gridCol w:w="462"/>
        <w:gridCol w:w="454"/>
        <w:gridCol w:w="484"/>
        <w:gridCol w:w="466"/>
        <w:gridCol w:w="500"/>
        <w:gridCol w:w="460"/>
        <w:gridCol w:w="492"/>
      </w:tblGrid>
      <w:tr w:rsidR="00B447E6" w:rsidRPr="00FD42DA" w:rsidTr="00FD4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1372F8">
            <w:pPr>
              <w:rPr>
                <w:sz w:val="16"/>
                <w:szCs w:val="16"/>
              </w:rPr>
            </w:pPr>
          </w:p>
        </w:tc>
        <w:tc>
          <w:tcPr>
            <w:tcW w:w="477" w:type="dxa"/>
          </w:tcPr>
          <w:p w:rsidR="00DE5D2C" w:rsidRPr="00FD42DA" w:rsidRDefault="00DE5D2C" w:rsidP="001372F8">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Oct</w:t>
            </w:r>
          </w:p>
        </w:tc>
        <w:tc>
          <w:tcPr>
            <w:tcW w:w="494" w:type="dxa"/>
          </w:tcPr>
          <w:p w:rsidR="00DE5D2C" w:rsidRPr="00FD42DA" w:rsidRDefault="00DE5D2C" w:rsidP="001372F8">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Nov</w:t>
            </w:r>
          </w:p>
        </w:tc>
        <w:tc>
          <w:tcPr>
            <w:tcW w:w="486" w:type="dxa"/>
          </w:tcPr>
          <w:p w:rsidR="00DE5D2C" w:rsidRPr="00FD42DA" w:rsidRDefault="00DE5D2C" w:rsidP="001372F8">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Dec</w:t>
            </w:r>
          </w:p>
        </w:tc>
        <w:tc>
          <w:tcPr>
            <w:tcW w:w="455" w:type="dxa"/>
          </w:tcPr>
          <w:p w:rsidR="00DE5D2C" w:rsidRPr="00FD42DA" w:rsidRDefault="00B447E6"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J/15</w:t>
            </w:r>
          </w:p>
        </w:tc>
        <w:tc>
          <w:tcPr>
            <w:tcW w:w="464"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Feb</w:t>
            </w:r>
          </w:p>
        </w:tc>
        <w:tc>
          <w:tcPr>
            <w:tcW w:w="492"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Mar</w:t>
            </w:r>
          </w:p>
        </w:tc>
        <w:tc>
          <w:tcPr>
            <w:tcW w:w="464"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Apr</w:t>
            </w:r>
          </w:p>
        </w:tc>
        <w:tc>
          <w:tcPr>
            <w:tcW w:w="511"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May</w:t>
            </w:r>
          </w:p>
        </w:tc>
        <w:tc>
          <w:tcPr>
            <w:tcW w:w="458"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Jun</w:t>
            </w:r>
          </w:p>
        </w:tc>
        <w:tc>
          <w:tcPr>
            <w:tcW w:w="441"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Jul</w:t>
            </w:r>
          </w:p>
        </w:tc>
        <w:tc>
          <w:tcPr>
            <w:tcW w:w="475"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Aug</w:t>
            </w:r>
          </w:p>
        </w:tc>
        <w:tc>
          <w:tcPr>
            <w:tcW w:w="465"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Sep</w:t>
            </w:r>
          </w:p>
        </w:tc>
        <w:tc>
          <w:tcPr>
            <w:tcW w:w="461"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Oct</w:t>
            </w:r>
          </w:p>
        </w:tc>
        <w:tc>
          <w:tcPr>
            <w:tcW w:w="484"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Nov</w:t>
            </w:r>
          </w:p>
        </w:tc>
        <w:tc>
          <w:tcPr>
            <w:tcW w:w="468"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Dec</w:t>
            </w:r>
          </w:p>
        </w:tc>
        <w:tc>
          <w:tcPr>
            <w:tcW w:w="456" w:type="dxa"/>
          </w:tcPr>
          <w:p w:rsidR="00DE5D2C" w:rsidRPr="00FD42DA" w:rsidRDefault="00B447E6"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J/16</w:t>
            </w:r>
          </w:p>
        </w:tc>
        <w:tc>
          <w:tcPr>
            <w:tcW w:w="464"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Feb</w:t>
            </w:r>
          </w:p>
        </w:tc>
        <w:tc>
          <w:tcPr>
            <w:tcW w:w="492" w:type="dxa"/>
          </w:tcPr>
          <w:p w:rsidR="00DE5D2C" w:rsidRPr="00FD42DA" w:rsidRDefault="00FD42DA" w:rsidP="001372F8">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Mar</w:t>
            </w:r>
          </w:p>
        </w:tc>
      </w:tr>
      <w:tr w:rsidR="009D7112" w:rsidRPr="00FD42DA" w:rsidTr="00B4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1372F8">
            <w:pPr>
              <w:rPr>
                <w:sz w:val="16"/>
                <w:szCs w:val="16"/>
              </w:rPr>
            </w:pPr>
            <w:r w:rsidRPr="00FD42DA">
              <w:rPr>
                <w:sz w:val="16"/>
                <w:szCs w:val="16"/>
              </w:rPr>
              <w:t>Solicitation</w:t>
            </w:r>
          </w:p>
        </w:tc>
        <w:tc>
          <w:tcPr>
            <w:tcW w:w="477" w:type="dxa"/>
            <w:shd w:val="clear" w:color="auto" w:fill="548DD4" w:themeFill="text2" w:themeFillTint="99"/>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49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6"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51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8"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4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7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8"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r>
      <w:tr w:rsidR="00B447E6" w:rsidRPr="00FD42DA" w:rsidTr="00B447E6">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1372F8">
            <w:pPr>
              <w:rPr>
                <w:sz w:val="16"/>
                <w:szCs w:val="16"/>
              </w:rPr>
            </w:pPr>
            <w:r w:rsidRPr="00DE5D2C">
              <w:rPr>
                <w:sz w:val="16"/>
                <w:szCs w:val="16"/>
              </w:rPr>
              <w:t>Lease Negot</w:t>
            </w:r>
          </w:p>
        </w:tc>
        <w:tc>
          <w:tcPr>
            <w:tcW w:w="477"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4"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6"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51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8"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4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7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8"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r>
      <w:tr w:rsidR="009D7112" w:rsidRPr="00FD42DA" w:rsidTr="00FD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FD42DA" w:rsidRPr="00DE5D2C" w:rsidRDefault="00FD42DA" w:rsidP="001372F8">
            <w:pPr>
              <w:rPr>
                <w:sz w:val="16"/>
                <w:szCs w:val="16"/>
              </w:rPr>
            </w:pPr>
            <w:r>
              <w:rPr>
                <w:sz w:val="16"/>
                <w:szCs w:val="16"/>
              </w:rPr>
              <w:t>LOI</w:t>
            </w:r>
          </w:p>
        </w:tc>
        <w:tc>
          <w:tcPr>
            <w:tcW w:w="477"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4"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6"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5" w:type="dxa"/>
          </w:tcPr>
          <w:p w:rsidR="00FD42DA" w:rsidRPr="00FD42DA" w:rsidRDefault="00B447E6" w:rsidP="00B447E6">
            <w:pPr>
              <w:ind w:left="-96"/>
              <w:cnfStyle w:val="000000100000" w:firstRow="0" w:lastRow="0" w:firstColumn="0" w:lastColumn="0" w:oddVBand="0" w:evenVBand="0" w:oddHBand="1" w:evenHBand="0" w:firstRowFirstColumn="0" w:firstRowLastColumn="0" w:lastRowFirstColumn="0" w:lastRowLastColumn="0"/>
              <w:rPr>
                <w:b/>
                <w:color w:val="auto"/>
                <w:sz w:val="16"/>
                <w:szCs w:val="16"/>
              </w:rPr>
            </w:pPr>
            <w:r>
              <w:rPr>
                <w:b/>
                <w:color w:val="auto"/>
                <w:sz w:val="16"/>
                <w:szCs w:val="16"/>
              </w:rPr>
              <w:t xml:space="preserve"> </w:t>
            </w:r>
          </w:p>
        </w:tc>
        <w:tc>
          <w:tcPr>
            <w:tcW w:w="464"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511"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8"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41"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75"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1"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4"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8"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FD42DA" w:rsidRPr="00FD42DA" w:rsidRDefault="00FD42DA" w:rsidP="001372F8">
            <w:pPr>
              <w:cnfStyle w:val="000000100000" w:firstRow="0" w:lastRow="0" w:firstColumn="0" w:lastColumn="0" w:oddVBand="0" w:evenVBand="0" w:oddHBand="1" w:evenHBand="0" w:firstRowFirstColumn="0" w:firstRowLastColumn="0" w:lastRowFirstColumn="0" w:lastRowLastColumn="0"/>
              <w:rPr>
                <w:sz w:val="16"/>
                <w:szCs w:val="16"/>
              </w:rPr>
            </w:pPr>
          </w:p>
        </w:tc>
      </w:tr>
      <w:tr w:rsidR="00B447E6" w:rsidRPr="00FD42DA" w:rsidTr="00B447E6">
        <w:tc>
          <w:tcPr>
            <w:cnfStyle w:val="001000000000" w:firstRow="0" w:lastRow="0" w:firstColumn="1" w:lastColumn="0" w:oddVBand="0" w:evenVBand="0" w:oddHBand="0" w:evenHBand="0" w:firstRowFirstColumn="0" w:firstRowLastColumn="0" w:lastRowFirstColumn="0" w:lastRowLastColumn="0"/>
            <w:tcW w:w="1069" w:type="dxa"/>
          </w:tcPr>
          <w:p w:rsidR="00FD42DA" w:rsidRDefault="00FD42DA" w:rsidP="001372F8">
            <w:pPr>
              <w:rPr>
                <w:sz w:val="16"/>
                <w:szCs w:val="16"/>
              </w:rPr>
            </w:pPr>
            <w:r>
              <w:rPr>
                <w:sz w:val="16"/>
                <w:szCs w:val="16"/>
              </w:rPr>
              <w:t>Lease Exec.</w:t>
            </w:r>
          </w:p>
        </w:tc>
        <w:tc>
          <w:tcPr>
            <w:tcW w:w="477"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4"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6"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5" w:type="dxa"/>
            <w:shd w:val="clear" w:color="auto" w:fill="548DD4" w:themeFill="text2" w:themeFillTint="99"/>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b/>
                <w:sz w:val="16"/>
                <w:szCs w:val="16"/>
              </w:rPr>
            </w:pPr>
          </w:p>
        </w:tc>
        <w:tc>
          <w:tcPr>
            <w:tcW w:w="464" w:type="dxa"/>
            <w:shd w:val="clear" w:color="auto" w:fill="548DD4" w:themeFill="text2" w:themeFillTint="99"/>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511"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8"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41"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75"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1"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4"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8"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FD42DA" w:rsidRPr="00FD42DA" w:rsidRDefault="00FD42DA" w:rsidP="001372F8">
            <w:pPr>
              <w:cnfStyle w:val="000000000000" w:firstRow="0" w:lastRow="0" w:firstColumn="0" w:lastColumn="0" w:oddVBand="0" w:evenVBand="0" w:oddHBand="0" w:evenHBand="0" w:firstRowFirstColumn="0" w:firstRowLastColumn="0" w:lastRowFirstColumn="0" w:lastRowLastColumn="0"/>
              <w:rPr>
                <w:sz w:val="16"/>
                <w:szCs w:val="16"/>
              </w:rPr>
            </w:pPr>
          </w:p>
        </w:tc>
      </w:tr>
      <w:tr w:rsidR="009D7112" w:rsidRPr="00FD42DA" w:rsidTr="00B4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FD42DA">
            <w:pPr>
              <w:rPr>
                <w:sz w:val="16"/>
                <w:szCs w:val="16"/>
              </w:rPr>
            </w:pPr>
            <w:r w:rsidRPr="00DE5D2C">
              <w:rPr>
                <w:sz w:val="16"/>
                <w:szCs w:val="16"/>
              </w:rPr>
              <w:t>Council Pkg</w:t>
            </w:r>
          </w:p>
        </w:tc>
        <w:tc>
          <w:tcPr>
            <w:tcW w:w="477"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6"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shd w:val="clear" w:color="auto" w:fill="548DD4" w:themeFill="text2" w:themeFillTint="99"/>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51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8"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4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7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8"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r>
      <w:tr w:rsidR="00B447E6" w:rsidRPr="00FD42DA" w:rsidTr="00B447E6">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1372F8">
            <w:pPr>
              <w:rPr>
                <w:sz w:val="16"/>
                <w:szCs w:val="16"/>
              </w:rPr>
            </w:pPr>
            <w:r w:rsidRPr="00DE5D2C">
              <w:rPr>
                <w:sz w:val="16"/>
                <w:szCs w:val="16"/>
              </w:rPr>
              <w:t>Design</w:t>
            </w:r>
          </w:p>
        </w:tc>
        <w:tc>
          <w:tcPr>
            <w:tcW w:w="477"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6"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51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8"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4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7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8"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r>
      <w:tr w:rsidR="006A1C55" w:rsidRPr="00FD42DA" w:rsidTr="00B4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1372F8">
            <w:pPr>
              <w:rPr>
                <w:sz w:val="16"/>
                <w:szCs w:val="16"/>
              </w:rPr>
            </w:pPr>
            <w:r w:rsidRPr="00DE5D2C">
              <w:rPr>
                <w:sz w:val="16"/>
                <w:szCs w:val="16"/>
              </w:rPr>
              <w:t>Permit</w:t>
            </w:r>
          </w:p>
        </w:tc>
        <w:tc>
          <w:tcPr>
            <w:tcW w:w="477"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6"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shd w:val="clear" w:color="auto" w:fill="548DD4" w:themeFill="text2" w:themeFillTint="99"/>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511" w:type="dxa"/>
            <w:shd w:val="clear" w:color="auto" w:fill="548DD4" w:themeFill="text2" w:themeFillTint="99"/>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8" w:type="dxa"/>
            <w:shd w:val="clear" w:color="auto" w:fill="548DD4" w:themeFill="text2" w:themeFillTint="99"/>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41" w:type="dxa"/>
            <w:shd w:val="clear" w:color="auto" w:fill="548DD4" w:themeFill="text2" w:themeFillTint="99"/>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7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1"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8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8"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56"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c>
          <w:tcPr>
            <w:tcW w:w="492" w:type="dxa"/>
          </w:tcPr>
          <w:p w:rsidR="00DE5D2C" w:rsidRPr="00FD42DA" w:rsidRDefault="00DE5D2C" w:rsidP="001372F8">
            <w:pPr>
              <w:cnfStyle w:val="000000100000" w:firstRow="0" w:lastRow="0" w:firstColumn="0" w:lastColumn="0" w:oddVBand="0" w:evenVBand="0" w:oddHBand="1" w:evenHBand="0" w:firstRowFirstColumn="0" w:firstRowLastColumn="0" w:lastRowFirstColumn="0" w:lastRowLastColumn="0"/>
              <w:rPr>
                <w:sz w:val="16"/>
                <w:szCs w:val="16"/>
              </w:rPr>
            </w:pPr>
          </w:p>
        </w:tc>
      </w:tr>
      <w:tr w:rsidR="009D7112" w:rsidRPr="00FD42DA" w:rsidTr="00B447E6">
        <w:tc>
          <w:tcPr>
            <w:cnfStyle w:val="001000000000" w:firstRow="0" w:lastRow="0" w:firstColumn="1" w:lastColumn="0" w:oddVBand="0" w:evenVBand="0" w:oddHBand="0" w:evenHBand="0" w:firstRowFirstColumn="0" w:firstRowLastColumn="0" w:lastRowFirstColumn="0" w:lastRowLastColumn="0"/>
            <w:tcW w:w="1069" w:type="dxa"/>
          </w:tcPr>
          <w:p w:rsidR="00DE5D2C" w:rsidRPr="00FD42DA" w:rsidRDefault="00DE5D2C" w:rsidP="001372F8">
            <w:pPr>
              <w:rPr>
                <w:sz w:val="16"/>
                <w:szCs w:val="16"/>
              </w:rPr>
            </w:pPr>
            <w:r w:rsidRPr="00DE5D2C">
              <w:rPr>
                <w:sz w:val="16"/>
                <w:szCs w:val="16"/>
              </w:rPr>
              <w:t>Construction</w:t>
            </w:r>
          </w:p>
        </w:tc>
        <w:tc>
          <w:tcPr>
            <w:tcW w:w="477"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6"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5"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51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8"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41" w:type="dxa"/>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75"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1"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84"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8" w:type="dxa"/>
            <w:shd w:val="clear" w:color="auto" w:fill="548DD4" w:themeFill="text2" w:themeFillTint="99"/>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56" w:type="dxa"/>
            <w:shd w:val="clear" w:color="auto" w:fill="B8CCE4" w:themeFill="accent1" w:themeFillTint="66"/>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shd w:val="clear" w:color="auto" w:fill="B8CCE4" w:themeFill="accent1" w:themeFillTint="66"/>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shd w:val="clear" w:color="auto" w:fill="B8CCE4" w:themeFill="accent1" w:themeFillTint="66"/>
          </w:tcPr>
          <w:p w:rsidR="00DE5D2C" w:rsidRPr="00FD42DA" w:rsidRDefault="00DE5D2C" w:rsidP="001372F8">
            <w:pPr>
              <w:cnfStyle w:val="000000000000" w:firstRow="0" w:lastRow="0" w:firstColumn="0" w:lastColumn="0" w:oddVBand="0" w:evenVBand="0" w:oddHBand="0" w:evenHBand="0" w:firstRowFirstColumn="0" w:firstRowLastColumn="0" w:lastRowFirstColumn="0" w:lastRowLastColumn="0"/>
              <w:rPr>
                <w:sz w:val="16"/>
                <w:szCs w:val="16"/>
              </w:rPr>
            </w:pPr>
          </w:p>
        </w:tc>
      </w:tr>
    </w:tbl>
    <w:p w:rsidR="00DE5D2C" w:rsidRPr="00A70F10" w:rsidRDefault="004D325F" w:rsidP="00A70F10">
      <w:pPr>
        <w:jc w:val="right"/>
        <w:rPr>
          <w:sz w:val="16"/>
          <w:szCs w:val="16"/>
        </w:rPr>
      </w:pPr>
      <w:r w:rsidRPr="00A70F10">
        <w:rPr>
          <w:sz w:val="16"/>
          <w:szCs w:val="16"/>
        </w:rPr>
        <w:t>Completion January – March 2016</w:t>
      </w:r>
    </w:p>
    <w:p w:rsidR="005D5FCE" w:rsidRDefault="005D5FCE" w:rsidP="005D5FCE">
      <w:pPr>
        <w:rPr>
          <w:sz w:val="24"/>
          <w:szCs w:val="24"/>
        </w:rPr>
      </w:pPr>
      <w:r>
        <w:rPr>
          <w:sz w:val="24"/>
          <w:szCs w:val="24"/>
        </w:rPr>
        <w:t xml:space="preserve">Any </w:t>
      </w:r>
      <w:r w:rsidRPr="00047221">
        <w:rPr>
          <w:sz w:val="24"/>
          <w:szCs w:val="24"/>
        </w:rPr>
        <w:t xml:space="preserve">District-owned </w:t>
      </w:r>
      <w:r>
        <w:rPr>
          <w:sz w:val="24"/>
          <w:szCs w:val="24"/>
        </w:rPr>
        <w:t xml:space="preserve">sites identified by </w:t>
      </w:r>
      <w:r w:rsidRPr="00047221">
        <w:rPr>
          <w:sz w:val="24"/>
          <w:szCs w:val="24"/>
        </w:rPr>
        <w:t xml:space="preserve">DGS </w:t>
      </w:r>
      <w:r>
        <w:rPr>
          <w:sz w:val="24"/>
          <w:szCs w:val="24"/>
        </w:rPr>
        <w:t xml:space="preserve">for renovation or new construction would </w:t>
      </w:r>
      <w:r w:rsidRPr="00047221">
        <w:rPr>
          <w:sz w:val="24"/>
          <w:szCs w:val="24"/>
        </w:rPr>
        <w:t xml:space="preserve">require funding through the Capital Budget and typically requires a longer timeline due to permitting and approval processes.  </w:t>
      </w:r>
      <w:r>
        <w:rPr>
          <w:sz w:val="24"/>
          <w:szCs w:val="24"/>
        </w:rPr>
        <w:t>In addition, there</w:t>
      </w:r>
      <w:r w:rsidRPr="00047221">
        <w:rPr>
          <w:sz w:val="24"/>
          <w:szCs w:val="24"/>
        </w:rPr>
        <w:t xml:space="preserve"> are currently few District-owned sites of sufficient size to accommodate the program needs. </w:t>
      </w:r>
      <w:r w:rsidR="00B447E6">
        <w:rPr>
          <w:sz w:val="24"/>
          <w:szCs w:val="24"/>
        </w:rPr>
        <w:t xml:space="preserve"> Below is a generic summary schedule for District-Owned sites</w:t>
      </w:r>
      <w:r w:rsidR="001F7789">
        <w:rPr>
          <w:sz w:val="24"/>
          <w:szCs w:val="24"/>
        </w:rPr>
        <w:t xml:space="preserve">.  This schedule is also dependent upon Capital Dollars being allocated to create these facilities.  </w:t>
      </w:r>
    </w:p>
    <w:p w:rsidR="009D7112" w:rsidRDefault="009D7112" w:rsidP="00B447E6">
      <w:pPr>
        <w:rPr>
          <w:b/>
          <w:sz w:val="24"/>
          <w:szCs w:val="24"/>
        </w:rPr>
      </w:pPr>
    </w:p>
    <w:p w:rsidR="00B447E6" w:rsidRPr="00A70F10" w:rsidRDefault="00B447E6" w:rsidP="00B447E6">
      <w:pPr>
        <w:rPr>
          <w:b/>
          <w:sz w:val="24"/>
          <w:szCs w:val="24"/>
        </w:rPr>
      </w:pPr>
      <w:r w:rsidRPr="00A70F10">
        <w:rPr>
          <w:b/>
          <w:sz w:val="24"/>
          <w:szCs w:val="24"/>
        </w:rPr>
        <w:t>District-Owned Sites</w:t>
      </w:r>
    </w:p>
    <w:tbl>
      <w:tblPr>
        <w:tblStyle w:val="LightShading-Accent2"/>
        <w:tblW w:w="0" w:type="auto"/>
        <w:tblLook w:val="04A0" w:firstRow="1" w:lastRow="0" w:firstColumn="1" w:lastColumn="0" w:noHBand="0" w:noVBand="1"/>
      </w:tblPr>
      <w:tblGrid>
        <w:gridCol w:w="1069"/>
        <w:gridCol w:w="339"/>
        <w:gridCol w:w="345"/>
        <w:gridCol w:w="338"/>
        <w:gridCol w:w="500"/>
        <w:gridCol w:w="316"/>
        <w:gridCol w:w="372"/>
        <w:gridCol w:w="333"/>
        <w:gridCol w:w="375"/>
        <w:gridCol w:w="297"/>
        <w:gridCol w:w="289"/>
        <w:gridCol w:w="337"/>
        <w:gridCol w:w="318"/>
        <w:gridCol w:w="340"/>
        <w:gridCol w:w="345"/>
        <w:gridCol w:w="338"/>
        <w:gridCol w:w="500"/>
        <w:gridCol w:w="316"/>
        <w:gridCol w:w="372"/>
        <w:gridCol w:w="313"/>
        <w:gridCol w:w="356"/>
        <w:gridCol w:w="269"/>
        <w:gridCol w:w="269"/>
        <w:gridCol w:w="313"/>
        <w:gridCol w:w="292"/>
        <w:gridCol w:w="325"/>
      </w:tblGrid>
      <w:tr w:rsidR="00C61E46" w:rsidRPr="00FD42DA" w:rsidTr="004D3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B447E6" w:rsidP="00C450C3">
            <w:pPr>
              <w:rPr>
                <w:sz w:val="16"/>
                <w:szCs w:val="16"/>
              </w:rPr>
            </w:pPr>
          </w:p>
        </w:tc>
        <w:tc>
          <w:tcPr>
            <w:tcW w:w="339"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O</w:t>
            </w:r>
          </w:p>
        </w:tc>
        <w:tc>
          <w:tcPr>
            <w:tcW w:w="345"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N</w:t>
            </w:r>
          </w:p>
        </w:tc>
        <w:tc>
          <w:tcPr>
            <w:tcW w:w="338"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D</w:t>
            </w:r>
          </w:p>
        </w:tc>
        <w:tc>
          <w:tcPr>
            <w:tcW w:w="500" w:type="dxa"/>
          </w:tcPr>
          <w:p w:rsidR="00B447E6" w:rsidRPr="00FD42DA"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J/15</w:t>
            </w:r>
          </w:p>
        </w:tc>
        <w:tc>
          <w:tcPr>
            <w:tcW w:w="316"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w:t>
            </w:r>
          </w:p>
        </w:tc>
        <w:tc>
          <w:tcPr>
            <w:tcW w:w="372"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w:t>
            </w:r>
          </w:p>
        </w:tc>
        <w:tc>
          <w:tcPr>
            <w:tcW w:w="333"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p>
        </w:tc>
        <w:tc>
          <w:tcPr>
            <w:tcW w:w="375"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w:t>
            </w:r>
          </w:p>
        </w:tc>
        <w:tc>
          <w:tcPr>
            <w:tcW w:w="297"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w:t>
            </w:r>
          </w:p>
        </w:tc>
        <w:tc>
          <w:tcPr>
            <w:tcW w:w="289"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w:t>
            </w:r>
          </w:p>
        </w:tc>
        <w:tc>
          <w:tcPr>
            <w:tcW w:w="337"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p>
        </w:tc>
        <w:tc>
          <w:tcPr>
            <w:tcW w:w="318"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w:t>
            </w:r>
          </w:p>
        </w:tc>
        <w:tc>
          <w:tcPr>
            <w:tcW w:w="340"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w:t>
            </w:r>
          </w:p>
        </w:tc>
        <w:tc>
          <w:tcPr>
            <w:tcW w:w="345"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w:t>
            </w:r>
          </w:p>
        </w:tc>
        <w:tc>
          <w:tcPr>
            <w:tcW w:w="338"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w:t>
            </w:r>
          </w:p>
        </w:tc>
        <w:tc>
          <w:tcPr>
            <w:tcW w:w="500" w:type="dxa"/>
          </w:tcPr>
          <w:p w:rsidR="00B447E6" w:rsidRPr="00FD42DA"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J/16</w:t>
            </w:r>
          </w:p>
        </w:tc>
        <w:tc>
          <w:tcPr>
            <w:tcW w:w="316"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w:t>
            </w:r>
          </w:p>
        </w:tc>
        <w:tc>
          <w:tcPr>
            <w:tcW w:w="372" w:type="dxa"/>
          </w:tcPr>
          <w:p w:rsidR="00B447E6" w:rsidRPr="00FD42DA" w:rsidRDefault="00B447E6" w:rsidP="00B447E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w:t>
            </w:r>
          </w:p>
        </w:tc>
        <w:tc>
          <w:tcPr>
            <w:tcW w:w="313"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p>
        </w:tc>
        <w:tc>
          <w:tcPr>
            <w:tcW w:w="356"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w:t>
            </w:r>
          </w:p>
        </w:tc>
        <w:tc>
          <w:tcPr>
            <w:tcW w:w="269"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w:t>
            </w:r>
          </w:p>
        </w:tc>
        <w:tc>
          <w:tcPr>
            <w:tcW w:w="269"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w:t>
            </w:r>
          </w:p>
        </w:tc>
        <w:tc>
          <w:tcPr>
            <w:tcW w:w="313"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p>
        </w:tc>
        <w:tc>
          <w:tcPr>
            <w:tcW w:w="292"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w:t>
            </w:r>
          </w:p>
        </w:tc>
        <w:tc>
          <w:tcPr>
            <w:tcW w:w="325" w:type="dxa"/>
          </w:tcPr>
          <w:p w:rsidR="00B447E6" w:rsidRDefault="00B447E6" w:rsidP="00C450C3">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w:t>
            </w:r>
          </w:p>
        </w:tc>
      </w:tr>
      <w:tr w:rsidR="006A1C55" w:rsidRPr="00FD42DA" w:rsidTr="004D3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4D325F" w:rsidP="00C450C3">
            <w:pPr>
              <w:rPr>
                <w:sz w:val="16"/>
                <w:szCs w:val="16"/>
              </w:rPr>
            </w:pPr>
            <w:r>
              <w:rPr>
                <w:sz w:val="16"/>
                <w:szCs w:val="16"/>
              </w:rPr>
              <w:t>Property ID</w:t>
            </w:r>
          </w:p>
        </w:tc>
        <w:tc>
          <w:tcPr>
            <w:tcW w:w="339" w:type="dxa"/>
            <w:shd w:val="clear" w:color="auto" w:fill="548DD4" w:themeFill="text2" w:themeFillTint="99"/>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34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50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97"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8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7"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50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5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6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6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9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2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r>
      <w:tr w:rsidR="00C61E46" w:rsidRPr="00FD42DA" w:rsidTr="004D325F">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4D325F" w:rsidP="00C450C3">
            <w:pPr>
              <w:rPr>
                <w:sz w:val="16"/>
                <w:szCs w:val="16"/>
              </w:rPr>
            </w:pPr>
            <w:r>
              <w:rPr>
                <w:sz w:val="16"/>
                <w:szCs w:val="16"/>
              </w:rPr>
              <w:t>D/B Solicit’n</w:t>
            </w:r>
          </w:p>
        </w:tc>
        <w:tc>
          <w:tcPr>
            <w:tcW w:w="33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5" w:type="dxa"/>
            <w:shd w:val="clear" w:color="auto" w:fill="548DD4" w:themeFill="text2" w:themeFillTint="99"/>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8" w:type="dxa"/>
            <w:shd w:val="clear" w:color="auto" w:fill="548DD4" w:themeFill="text2" w:themeFillTint="99"/>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500" w:type="dxa"/>
            <w:shd w:val="clear" w:color="auto" w:fill="548DD4" w:themeFill="text2" w:themeFillTint="99"/>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6" w:type="dxa"/>
            <w:shd w:val="clear" w:color="auto" w:fill="548DD4" w:themeFill="text2" w:themeFillTint="99"/>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3"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97"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8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7"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8"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0"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8"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500"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6"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56"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6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6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92"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2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r>
      <w:tr w:rsidR="006A1C55" w:rsidRPr="00FD42DA" w:rsidTr="004D3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B447E6" w:rsidP="00C450C3">
            <w:pPr>
              <w:rPr>
                <w:sz w:val="16"/>
                <w:szCs w:val="16"/>
              </w:rPr>
            </w:pPr>
            <w:r w:rsidRPr="00DE5D2C">
              <w:rPr>
                <w:sz w:val="16"/>
                <w:szCs w:val="16"/>
              </w:rPr>
              <w:t>Council Pkg</w:t>
            </w:r>
          </w:p>
        </w:tc>
        <w:tc>
          <w:tcPr>
            <w:tcW w:w="33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50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shd w:val="clear" w:color="auto" w:fill="548DD4" w:themeFill="text2" w:themeFillTint="99"/>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3" w:type="dxa"/>
            <w:shd w:val="clear" w:color="auto" w:fill="548DD4" w:themeFill="text2" w:themeFillTint="99"/>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97"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8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7"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50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5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6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6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9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2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r>
      <w:tr w:rsidR="009D7112" w:rsidRPr="00FD42DA" w:rsidTr="004D325F">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B447E6" w:rsidP="00C450C3">
            <w:pPr>
              <w:rPr>
                <w:sz w:val="16"/>
                <w:szCs w:val="16"/>
              </w:rPr>
            </w:pPr>
            <w:r w:rsidRPr="00DE5D2C">
              <w:rPr>
                <w:sz w:val="16"/>
                <w:szCs w:val="16"/>
              </w:rPr>
              <w:t>Design</w:t>
            </w:r>
          </w:p>
        </w:tc>
        <w:tc>
          <w:tcPr>
            <w:tcW w:w="33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8"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500"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6"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3"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5"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97"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89"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7"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8"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0"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8"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500"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6"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56"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6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6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92"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2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r>
      <w:tr w:rsidR="006A1C55" w:rsidRPr="00FD42DA" w:rsidTr="004D3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B447E6" w:rsidP="00C450C3">
            <w:pPr>
              <w:rPr>
                <w:sz w:val="16"/>
                <w:szCs w:val="16"/>
              </w:rPr>
            </w:pPr>
            <w:r w:rsidRPr="00DE5D2C">
              <w:rPr>
                <w:sz w:val="16"/>
                <w:szCs w:val="16"/>
              </w:rPr>
              <w:t>Permit</w:t>
            </w:r>
          </w:p>
        </w:tc>
        <w:tc>
          <w:tcPr>
            <w:tcW w:w="33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8"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500"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3" w:type="dxa"/>
            <w:shd w:val="clear" w:color="auto" w:fill="F2DBDB" w:themeFill="accent2" w:themeFillTint="33"/>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5" w:type="dxa"/>
            <w:shd w:val="clear" w:color="auto" w:fill="F2DBDB" w:themeFill="accent2" w:themeFillTint="33"/>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97" w:type="dxa"/>
            <w:shd w:val="clear" w:color="auto" w:fill="F2DBDB" w:themeFill="accent2" w:themeFillTint="33"/>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89" w:type="dxa"/>
            <w:shd w:val="clear" w:color="auto" w:fill="F2DBDB" w:themeFill="accent2" w:themeFillTint="33"/>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7" w:type="dxa"/>
            <w:shd w:val="clear" w:color="auto" w:fill="0070C0"/>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8" w:type="dxa"/>
            <w:shd w:val="clear" w:color="auto" w:fill="0070C0"/>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0" w:type="dxa"/>
            <w:shd w:val="clear" w:color="auto" w:fill="0070C0"/>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45" w:type="dxa"/>
            <w:shd w:val="clear" w:color="auto" w:fill="0070C0"/>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38" w:type="dxa"/>
            <w:shd w:val="clear" w:color="auto" w:fill="0070C0"/>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500" w:type="dxa"/>
            <w:shd w:val="clear" w:color="auto" w:fill="0070C0"/>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56"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6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69"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13"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292"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c>
          <w:tcPr>
            <w:tcW w:w="325" w:type="dxa"/>
          </w:tcPr>
          <w:p w:rsidR="00B447E6" w:rsidRPr="00FD42DA" w:rsidRDefault="00B447E6" w:rsidP="00C450C3">
            <w:pPr>
              <w:cnfStyle w:val="000000100000" w:firstRow="0" w:lastRow="0" w:firstColumn="0" w:lastColumn="0" w:oddVBand="0" w:evenVBand="0" w:oddHBand="1" w:evenHBand="0" w:firstRowFirstColumn="0" w:firstRowLastColumn="0" w:lastRowFirstColumn="0" w:lastRowLastColumn="0"/>
              <w:rPr>
                <w:sz w:val="16"/>
                <w:szCs w:val="16"/>
              </w:rPr>
            </w:pPr>
          </w:p>
        </w:tc>
      </w:tr>
      <w:tr w:rsidR="006A1C55" w:rsidRPr="00FD42DA" w:rsidTr="004D325F">
        <w:tc>
          <w:tcPr>
            <w:cnfStyle w:val="001000000000" w:firstRow="0" w:lastRow="0" w:firstColumn="1" w:lastColumn="0" w:oddVBand="0" w:evenVBand="0" w:oddHBand="0" w:evenHBand="0" w:firstRowFirstColumn="0" w:firstRowLastColumn="0" w:lastRowFirstColumn="0" w:lastRowLastColumn="0"/>
            <w:tcW w:w="1069" w:type="dxa"/>
          </w:tcPr>
          <w:p w:rsidR="00B447E6" w:rsidRPr="00FD42DA" w:rsidRDefault="00B447E6" w:rsidP="00C450C3">
            <w:pPr>
              <w:rPr>
                <w:sz w:val="16"/>
                <w:szCs w:val="16"/>
              </w:rPr>
            </w:pPr>
            <w:r w:rsidRPr="00DE5D2C">
              <w:rPr>
                <w:sz w:val="16"/>
                <w:szCs w:val="16"/>
              </w:rPr>
              <w:t>Construction</w:t>
            </w:r>
          </w:p>
        </w:tc>
        <w:tc>
          <w:tcPr>
            <w:tcW w:w="33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8"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500"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6"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3"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5"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97"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89" w:type="dxa"/>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7"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8"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0"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45"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38"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500" w:type="dxa"/>
            <w:shd w:val="clear" w:color="auto" w:fill="auto"/>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6"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56"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69"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69" w:type="dxa"/>
            <w:shd w:val="clear" w:color="auto" w:fill="0070C0"/>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13" w:type="dxa"/>
            <w:shd w:val="clear" w:color="auto" w:fill="B8CCE4" w:themeFill="accent1" w:themeFillTint="66"/>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292" w:type="dxa"/>
            <w:shd w:val="clear" w:color="auto" w:fill="B8CCE4" w:themeFill="accent1" w:themeFillTint="66"/>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c>
          <w:tcPr>
            <w:tcW w:w="325" w:type="dxa"/>
            <w:shd w:val="clear" w:color="auto" w:fill="B8CCE4" w:themeFill="accent1" w:themeFillTint="66"/>
          </w:tcPr>
          <w:p w:rsidR="00B447E6" w:rsidRPr="00FD42DA" w:rsidRDefault="00B447E6" w:rsidP="00C450C3">
            <w:pPr>
              <w:cnfStyle w:val="000000000000" w:firstRow="0" w:lastRow="0" w:firstColumn="0" w:lastColumn="0" w:oddVBand="0" w:evenVBand="0" w:oddHBand="0" w:evenHBand="0" w:firstRowFirstColumn="0" w:firstRowLastColumn="0" w:lastRowFirstColumn="0" w:lastRowLastColumn="0"/>
              <w:rPr>
                <w:sz w:val="16"/>
                <w:szCs w:val="16"/>
              </w:rPr>
            </w:pPr>
          </w:p>
        </w:tc>
      </w:tr>
    </w:tbl>
    <w:p w:rsidR="00B447E6" w:rsidRPr="00A70F10" w:rsidRDefault="004D325F" w:rsidP="00A70F10">
      <w:pPr>
        <w:tabs>
          <w:tab w:val="right" w:pos="9360"/>
        </w:tabs>
        <w:jc w:val="right"/>
        <w:rPr>
          <w:sz w:val="16"/>
          <w:szCs w:val="16"/>
        </w:rPr>
      </w:pPr>
      <w:r w:rsidRPr="00A70F10">
        <w:rPr>
          <w:sz w:val="16"/>
          <w:szCs w:val="16"/>
        </w:rPr>
        <w:t>Completion July – October 2016</w:t>
      </w:r>
    </w:p>
    <w:p w:rsidR="005D5FCE" w:rsidRDefault="005D5FCE" w:rsidP="005D5FCE">
      <w:pPr>
        <w:rPr>
          <w:sz w:val="24"/>
          <w:szCs w:val="24"/>
        </w:rPr>
      </w:pPr>
      <w:r w:rsidRPr="00F33BED">
        <w:rPr>
          <w:sz w:val="24"/>
          <w:szCs w:val="24"/>
        </w:rPr>
        <w:t xml:space="preserve">The cost, funding, and timeline between identification and occupancy for any particular site will depend, in large part, on which strategy yielded that site. </w:t>
      </w:r>
      <w:r>
        <w:rPr>
          <w:sz w:val="24"/>
          <w:szCs w:val="24"/>
        </w:rPr>
        <w:t xml:space="preserve"> </w:t>
      </w:r>
      <w:r w:rsidR="001372F8">
        <w:rPr>
          <w:sz w:val="24"/>
          <w:szCs w:val="24"/>
        </w:rPr>
        <w:t xml:space="preserve">If facilities are offered </w:t>
      </w:r>
      <w:r>
        <w:rPr>
          <w:sz w:val="24"/>
          <w:szCs w:val="24"/>
        </w:rPr>
        <w:t xml:space="preserve">through the SFO </w:t>
      </w:r>
      <w:r w:rsidR="001372F8">
        <w:rPr>
          <w:sz w:val="24"/>
          <w:szCs w:val="24"/>
        </w:rPr>
        <w:t>that come ready to occupy</w:t>
      </w:r>
      <w:r>
        <w:rPr>
          <w:sz w:val="24"/>
          <w:szCs w:val="24"/>
        </w:rPr>
        <w:t xml:space="preserve"> or with minimal</w:t>
      </w:r>
      <w:r w:rsidR="001372F8">
        <w:rPr>
          <w:sz w:val="24"/>
          <w:szCs w:val="24"/>
        </w:rPr>
        <w:t xml:space="preserve"> renovation, the </w:t>
      </w:r>
      <w:r w:rsidR="0078220A">
        <w:rPr>
          <w:sz w:val="24"/>
          <w:szCs w:val="24"/>
        </w:rPr>
        <w:t>DC General Family Shelter</w:t>
      </w:r>
      <w:r w:rsidR="001372F8">
        <w:rPr>
          <w:sz w:val="24"/>
          <w:szCs w:val="24"/>
        </w:rPr>
        <w:t xml:space="preserve"> could close as early as </w:t>
      </w:r>
      <w:r w:rsidR="009031CA">
        <w:rPr>
          <w:sz w:val="24"/>
          <w:szCs w:val="24"/>
        </w:rPr>
        <w:t>the f</w:t>
      </w:r>
      <w:r w:rsidR="0081687B">
        <w:rPr>
          <w:sz w:val="24"/>
          <w:szCs w:val="24"/>
        </w:rPr>
        <w:t xml:space="preserve">all </w:t>
      </w:r>
      <w:r w:rsidR="001372F8">
        <w:rPr>
          <w:sz w:val="24"/>
          <w:szCs w:val="24"/>
        </w:rPr>
        <w:t xml:space="preserve">of 2015.  </w:t>
      </w:r>
      <w:r w:rsidR="00BE611F">
        <w:rPr>
          <w:sz w:val="24"/>
          <w:szCs w:val="24"/>
        </w:rPr>
        <w:t>Buildings that require significant renovation or new construction ma</w:t>
      </w:r>
      <w:r w:rsidR="009031CA">
        <w:rPr>
          <w:sz w:val="24"/>
          <w:szCs w:val="24"/>
        </w:rPr>
        <w:t>y not be ready to occupy until the w</w:t>
      </w:r>
      <w:r w:rsidR="00BE611F">
        <w:rPr>
          <w:sz w:val="24"/>
          <w:szCs w:val="24"/>
        </w:rPr>
        <w:t xml:space="preserve">inter of 2016. </w:t>
      </w:r>
    </w:p>
    <w:p w:rsidR="009F5872" w:rsidRPr="00A70F10" w:rsidRDefault="009F5872" w:rsidP="009F5872">
      <w:pPr>
        <w:rPr>
          <w:b/>
          <w:sz w:val="24"/>
          <w:szCs w:val="24"/>
        </w:rPr>
      </w:pPr>
      <w:r w:rsidRPr="00A70F10">
        <w:rPr>
          <w:b/>
          <w:sz w:val="24"/>
          <w:szCs w:val="24"/>
        </w:rPr>
        <w:t>Solicitation for Offers</w:t>
      </w:r>
      <w:r>
        <w:rPr>
          <w:b/>
          <w:sz w:val="24"/>
          <w:szCs w:val="24"/>
        </w:rPr>
        <w:t xml:space="preserve"> (SFO) – Minimal Renovation</w:t>
      </w:r>
    </w:p>
    <w:tbl>
      <w:tblPr>
        <w:tblStyle w:val="LightShading-Accent2"/>
        <w:tblW w:w="5000" w:type="pct"/>
        <w:tblLook w:val="04A0" w:firstRow="1" w:lastRow="0" w:firstColumn="1" w:lastColumn="0" w:noHBand="0" w:noVBand="1"/>
      </w:tblPr>
      <w:tblGrid>
        <w:gridCol w:w="1771"/>
        <w:gridCol w:w="764"/>
        <w:gridCol w:w="810"/>
        <w:gridCol w:w="787"/>
        <w:gridCol w:w="827"/>
        <w:gridCol w:w="762"/>
        <w:gridCol w:w="814"/>
        <w:gridCol w:w="762"/>
        <w:gridCol w:w="847"/>
        <w:gridCol w:w="743"/>
        <w:gridCol w:w="689"/>
      </w:tblGrid>
      <w:tr w:rsidR="009F5872" w:rsidRPr="00FD42DA" w:rsidTr="009F5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p>
        </w:tc>
        <w:tc>
          <w:tcPr>
            <w:tcW w:w="399"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Oct</w:t>
            </w:r>
          </w:p>
        </w:tc>
        <w:tc>
          <w:tcPr>
            <w:tcW w:w="423"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Nov</w:t>
            </w:r>
          </w:p>
        </w:tc>
        <w:tc>
          <w:tcPr>
            <w:tcW w:w="411"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sidRPr="00FD42DA">
              <w:rPr>
                <w:sz w:val="16"/>
                <w:szCs w:val="16"/>
              </w:rPr>
              <w:t>Dec</w:t>
            </w:r>
          </w:p>
        </w:tc>
        <w:tc>
          <w:tcPr>
            <w:tcW w:w="432"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J/15</w:t>
            </w:r>
          </w:p>
        </w:tc>
        <w:tc>
          <w:tcPr>
            <w:tcW w:w="398"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Feb</w:t>
            </w:r>
          </w:p>
        </w:tc>
        <w:tc>
          <w:tcPr>
            <w:tcW w:w="425"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Mar</w:t>
            </w:r>
          </w:p>
        </w:tc>
        <w:tc>
          <w:tcPr>
            <w:tcW w:w="398"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Apr</w:t>
            </w:r>
          </w:p>
        </w:tc>
        <w:tc>
          <w:tcPr>
            <w:tcW w:w="442"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May</w:t>
            </w:r>
          </w:p>
        </w:tc>
        <w:tc>
          <w:tcPr>
            <w:tcW w:w="388"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Jun</w:t>
            </w:r>
          </w:p>
        </w:tc>
        <w:tc>
          <w:tcPr>
            <w:tcW w:w="361" w:type="pct"/>
          </w:tcPr>
          <w:p w:rsidR="009F5872" w:rsidRPr="00FD42DA" w:rsidRDefault="009F5872" w:rsidP="006F507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Jul</w:t>
            </w:r>
          </w:p>
        </w:tc>
      </w:tr>
      <w:tr w:rsidR="009F5872" w:rsidRPr="00FD42DA" w:rsidTr="009F5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r w:rsidRPr="00FD42DA">
              <w:rPr>
                <w:sz w:val="16"/>
                <w:szCs w:val="16"/>
              </w:rPr>
              <w:t>Solicitation</w:t>
            </w:r>
          </w:p>
        </w:tc>
        <w:tc>
          <w:tcPr>
            <w:tcW w:w="399" w:type="pct"/>
            <w:shd w:val="clear" w:color="auto" w:fill="548DD4" w:themeFill="text2" w:themeFillTint="99"/>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423"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1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32"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9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5"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9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42"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8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6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r>
      <w:tr w:rsidR="009F5872" w:rsidRPr="00FD42DA" w:rsidTr="009F5872">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r w:rsidRPr="00DE5D2C">
              <w:rPr>
                <w:sz w:val="16"/>
                <w:szCs w:val="16"/>
              </w:rPr>
              <w:t>Lease Negot</w:t>
            </w:r>
          </w:p>
        </w:tc>
        <w:tc>
          <w:tcPr>
            <w:tcW w:w="399"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3"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11" w:type="pct"/>
            <w:shd w:val="clear" w:color="auto" w:fill="auto"/>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32"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5"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42"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8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61"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r>
      <w:tr w:rsidR="009F5872" w:rsidRPr="00FD42DA" w:rsidTr="009F5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pct"/>
          </w:tcPr>
          <w:p w:rsidR="009F5872" w:rsidRPr="00DE5D2C" w:rsidRDefault="009F5872" w:rsidP="006F5074">
            <w:pPr>
              <w:rPr>
                <w:sz w:val="16"/>
                <w:szCs w:val="16"/>
              </w:rPr>
            </w:pPr>
            <w:r>
              <w:rPr>
                <w:sz w:val="16"/>
                <w:szCs w:val="16"/>
              </w:rPr>
              <w:t>LOI</w:t>
            </w:r>
          </w:p>
        </w:tc>
        <w:tc>
          <w:tcPr>
            <w:tcW w:w="399"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3"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1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32" w:type="pct"/>
          </w:tcPr>
          <w:p w:rsidR="009F5872" w:rsidRPr="00FD42DA" w:rsidRDefault="009F5872" w:rsidP="006F5074">
            <w:pPr>
              <w:ind w:left="-96"/>
              <w:cnfStyle w:val="000000100000" w:firstRow="0" w:lastRow="0" w:firstColumn="0" w:lastColumn="0" w:oddVBand="0" w:evenVBand="0" w:oddHBand="1" w:evenHBand="0" w:firstRowFirstColumn="0" w:firstRowLastColumn="0" w:lastRowFirstColumn="0" w:lastRowLastColumn="0"/>
              <w:rPr>
                <w:b/>
                <w:color w:val="auto"/>
                <w:sz w:val="16"/>
                <w:szCs w:val="16"/>
              </w:rPr>
            </w:pPr>
          </w:p>
        </w:tc>
        <w:tc>
          <w:tcPr>
            <w:tcW w:w="39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5"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9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42"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8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6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r>
      <w:tr w:rsidR="009F5872" w:rsidRPr="00FD42DA" w:rsidTr="009F5872">
        <w:tc>
          <w:tcPr>
            <w:cnfStyle w:val="001000000000" w:firstRow="0" w:lastRow="0" w:firstColumn="1" w:lastColumn="0" w:oddVBand="0" w:evenVBand="0" w:oddHBand="0" w:evenHBand="0" w:firstRowFirstColumn="0" w:firstRowLastColumn="0" w:lastRowFirstColumn="0" w:lastRowLastColumn="0"/>
            <w:tcW w:w="924" w:type="pct"/>
          </w:tcPr>
          <w:p w:rsidR="009F5872" w:rsidRDefault="009F5872" w:rsidP="006F5074">
            <w:pPr>
              <w:rPr>
                <w:sz w:val="16"/>
                <w:szCs w:val="16"/>
              </w:rPr>
            </w:pPr>
            <w:r>
              <w:rPr>
                <w:sz w:val="16"/>
                <w:szCs w:val="16"/>
              </w:rPr>
              <w:t>Lease Exec.</w:t>
            </w:r>
          </w:p>
        </w:tc>
        <w:tc>
          <w:tcPr>
            <w:tcW w:w="399"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3"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11"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32" w:type="pct"/>
            <w:shd w:val="clear" w:color="auto" w:fill="auto"/>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b/>
                <w:sz w:val="16"/>
                <w:szCs w:val="16"/>
              </w:rPr>
            </w:pPr>
          </w:p>
        </w:tc>
        <w:tc>
          <w:tcPr>
            <w:tcW w:w="398" w:type="pct"/>
            <w:shd w:val="clear" w:color="auto" w:fill="auto"/>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5"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42"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8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61"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r>
      <w:tr w:rsidR="009F5872" w:rsidRPr="00FD42DA" w:rsidTr="009F5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r w:rsidRPr="00DE5D2C">
              <w:rPr>
                <w:sz w:val="16"/>
                <w:szCs w:val="16"/>
              </w:rPr>
              <w:t>Council Pkg</w:t>
            </w:r>
          </w:p>
        </w:tc>
        <w:tc>
          <w:tcPr>
            <w:tcW w:w="399"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3"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1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32"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w:t>
            </w:r>
          </w:p>
        </w:tc>
        <w:tc>
          <w:tcPr>
            <w:tcW w:w="39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5" w:type="pct"/>
            <w:shd w:val="clear" w:color="auto" w:fill="F2DBDB" w:themeFill="accent2" w:themeFillTint="33"/>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9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42"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88"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6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r>
      <w:tr w:rsidR="009F5872" w:rsidRPr="00FD42DA" w:rsidTr="009F5872">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r w:rsidRPr="00DE5D2C">
              <w:rPr>
                <w:sz w:val="16"/>
                <w:szCs w:val="16"/>
              </w:rPr>
              <w:t>Design</w:t>
            </w:r>
          </w:p>
        </w:tc>
        <w:tc>
          <w:tcPr>
            <w:tcW w:w="399"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3"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11"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32"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5" w:type="pct"/>
            <w:shd w:val="clear" w:color="auto" w:fill="auto"/>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shd w:val="clear" w:color="auto" w:fill="auto"/>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42"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8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61"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r>
      <w:tr w:rsidR="009F5872" w:rsidRPr="00FD42DA" w:rsidTr="009F5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r w:rsidRPr="00DE5D2C">
              <w:rPr>
                <w:sz w:val="16"/>
                <w:szCs w:val="16"/>
              </w:rPr>
              <w:t>Permit</w:t>
            </w:r>
          </w:p>
        </w:tc>
        <w:tc>
          <w:tcPr>
            <w:tcW w:w="399"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3"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11"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32" w:type="pct"/>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98" w:type="pct"/>
            <w:shd w:val="clear" w:color="auto" w:fill="548DD4" w:themeFill="text2" w:themeFillTint="99"/>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25" w:type="pct"/>
            <w:shd w:val="clear" w:color="auto" w:fill="548DD4" w:themeFill="text2" w:themeFillTint="99"/>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98" w:type="pct"/>
            <w:shd w:val="clear" w:color="auto" w:fill="F2DBDB" w:themeFill="accent2" w:themeFillTint="33"/>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442" w:type="pct"/>
            <w:shd w:val="clear" w:color="auto" w:fill="F2DBDB" w:themeFill="accent2" w:themeFillTint="33"/>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88" w:type="pct"/>
            <w:shd w:val="clear" w:color="auto" w:fill="F2DBDB" w:themeFill="accent2" w:themeFillTint="33"/>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c>
          <w:tcPr>
            <w:tcW w:w="361" w:type="pct"/>
            <w:shd w:val="clear" w:color="auto" w:fill="F2DBDB" w:themeFill="accent2" w:themeFillTint="33"/>
          </w:tcPr>
          <w:p w:rsidR="009F5872" w:rsidRPr="00FD42DA" w:rsidRDefault="009F5872" w:rsidP="006F5074">
            <w:pPr>
              <w:cnfStyle w:val="000000100000" w:firstRow="0" w:lastRow="0" w:firstColumn="0" w:lastColumn="0" w:oddVBand="0" w:evenVBand="0" w:oddHBand="1" w:evenHBand="0" w:firstRowFirstColumn="0" w:firstRowLastColumn="0" w:lastRowFirstColumn="0" w:lastRowLastColumn="0"/>
              <w:rPr>
                <w:sz w:val="16"/>
                <w:szCs w:val="16"/>
              </w:rPr>
            </w:pPr>
          </w:p>
        </w:tc>
      </w:tr>
      <w:tr w:rsidR="009F5872" w:rsidRPr="00FD42DA" w:rsidTr="009F5872">
        <w:tc>
          <w:tcPr>
            <w:cnfStyle w:val="001000000000" w:firstRow="0" w:lastRow="0" w:firstColumn="1" w:lastColumn="0" w:oddVBand="0" w:evenVBand="0" w:oddHBand="0" w:evenHBand="0" w:firstRowFirstColumn="0" w:firstRowLastColumn="0" w:lastRowFirstColumn="0" w:lastRowLastColumn="0"/>
            <w:tcW w:w="924" w:type="pct"/>
          </w:tcPr>
          <w:p w:rsidR="009F5872" w:rsidRPr="00FD42DA" w:rsidRDefault="009F5872" w:rsidP="006F5074">
            <w:pPr>
              <w:rPr>
                <w:sz w:val="16"/>
                <w:szCs w:val="16"/>
              </w:rPr>
            </w:pPr>
            <w:r w:rsidRPr="00DE5D2C">
              <w:rPr>
                <w:sz w:val="16"/>
                <w:szCs w:val="16"/>
              </w:rPr>
              <w:t>Construction</w:t>
            </w:r>
          </w:p>
        </w:tc>
        <w:tc>
          <w:tcPr>
            <w:tcW w:w="399"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3"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11"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32"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25" w:type="pct"/>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98"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442"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88" w:type="pct"/>
            <w:shd w:val="clear" w:color="auto" w:fill="548DD4" w:themeFill="text2" w:themeFillTint="99"/>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c>
          <w:tcPr>
            <w:tcW w:w="361" w:type="pct"/>
            <w:shd w:val="clear" w:color="auto" w:fill="B8CCE4" w:themeFill="accent1" w:themeFillTint="66"/>
          </w:tcPr>
          <w:p w:rsidR="009F5872" w:rsidRPr="00FD42DA" w:rsidRDefault="009F5872" w:rsidP="006F5074">
            <w:pPr>
              <w:cnfStyle w:val="000000000000" w:firstRow="0" w:lastRow="0" w:firstColumn="0" w:lastColumn="0" w:oddVBand="0" w:evenVBand="0" w:oddHBand="0" w:evenHBand="0" w:firstRowFirstColumn="0" w:firstRowLastColumn="0" w:lastRowFirstColumn="0" w:lastRowLastColumn="0"/>
              <w:rPr>
                <w:sz w:val="16"/>
                <w:szCs w:val="16"/>
              </w:rPr>
            </w:pPr>
          </w:p>
        </w:tc>
      </w:tr>
    </w:tbl>
    <w:p w:rsidR="009F5872" w:rsidRPr="00A70F10" w:rsidRDefault="009F5872" w:rsidP="009F5872">
      <w:pPr>
        <w:jc w:val="right"/>
        <w:rPr>
          <w:sz w:val="16"/>
          <w:szCs w:val="16"/>
        </w:rPr>
      </w:pPr>
      <w:r w:rsidRPr="00A70F10">
        <w:rPr>
          <w:sz w:val="16"/>
          <w:szCs w:val="16"/>
        </w:rPr>
        <w:t xml:space="preserve">Completion </w:t>
      </w:r>
      <w:r>
        <w:rPr>
          <w:sz w:val="16"/>
          <w:szCs w:val="16"/>
        </w:rPr>
        <w:t>Spring/Summer 2015</w:t>
      </w:r>
    </w:p>
    <w:p w:rsidR="001372F8" w:rsidRPr="009D7112" w:rsidRDefault="001372F8" w:rsidP="001372F8">
      <w:pPr>
        <w:rPr>
          <w:b/>
          <w:i/>
          <w:sz w:val="24"/>
          <w:szCs w:val="24"/>
          <w:u w:val="single"/>
        </w:rPr>
      </w:pPr>
      <w:r w:rsidRPr="009D7112">
        <w:rPr>
          <w:b/>
          <w:i/>
          <w:sz w:val="24"/>
          <w:szCs w:val="24"/>
          <w:u w:val="single"/>
        </w:rPr>
        <w:t>Legal Considerations</w:t>
      </w:r>
    </w:p>
    <w:p w:rsidR="006A4467" w:rsidRDefault="001372F8" w:rsidP="006A4467">
      <w:pPr>
        <w:rPr>
          <w:sz w:val="24"/>
          <w:szCs w:val="24"/>
        </w:rPr>
      </w:pPr>
      <w:r w:rsidRPr="00047221">
        <w:rPr>
          <w:sz w:val="24"/>
          <w:szCs w:val="24"/>
        </w:rPr>
        <w:t>Under the District law governing the provision of homeless services, shelter for families must be provided in apartment style units; except where no apartment style units are available, the Mayor is authorized to provide such shelter in non-apartment-style shelter that provides private rooms.</w:t>
      </w:r>
      <w:r w:rsidRPr="00047221">
        <w:rPr>
          <w:sz w:val="24"/>
          <w:szCs w:val="24"/>
          <w:vertAlign w:val="superscript"/>
        </w:rPr>
        <w:footnoteReference w:id="4"/>
      </w:r>
      <w:r w:rsidRPr="00047221">
        <w:rPr>
          <w:sz w:val="24"/>
          <w:szCs w:val="24"/>
        </w:rPr>
        <w:t xml:space="preserve"> </w:t>
      </w:r>
      <w:r w:rsidR="006A4467">
        <w:rPr>
          <w:sz w:val="24"/>
          <w:szCs w:val="24"/>
        </w:rPr>
        <w:t xml:space="preserve"> In addition, the building must meet the legal program standards for shelter, including access to</w:t>
      </w:r>
      <w:r w:rsidR="006A4467" w:rsidRPr="00816F23">
        <w:rPr>
          <w:sz w:val="24"/>
          <w:szCs w:val="24"/>
        </w:rPr>
        <w:t xml:space="preserve"> play space</w:t>
      </w:r>
      <w:r w:rsidR="006A4467">
        <w:rPr>
          <w:sz w:val="24"/>
          <w:szCs w:val="24"/>
        </w:rPr>
        <w:t xml:space="preserve"> for children</w:t>
      </w:r>
      <w:r w:rsidR="006A4467" w:rsidRPr="00816F23">
        <w:rPr>
          <w:sz w:val="24"/>
          <w:szCs w:val="24"/>
        </w:rPr>
        <w:t xml:space="preserve"> and </w:t>
      </w:r>
      <w:r w:rsidR="006A4467">
        <w:rPr>
          <w:sz w:val="24"/>
          <w:szCs w:val="24"/>
        </w:rPr>
        <w:t>proximity</w:t>
      </w:r>
      <w:r w:rsidR="006A4467" w:rsidRPr="00816F23">
        <w:rPr>
          <w:sz w:val="24"/>
          <w:szCs w:val="24"/>
        </w:rPr>
        <w:t xml:space="preserve"> to public transportation and community amenities.</w:t>
      </w:r>
      <w:r w:rsidR="006A4467">
        <w:rPr>
          <w:sz w:val="24"/>
          <w:szCs w:val="24"/>
        </w:rPr>
        <w:t xml:space="preserve"> </w:t>
      </w:r>
    </w:p>
    <w:p w:rsidR="000324C3" w:rsidRPr="009D7112" w:rsidRDefault="000324C3" w:rsidP="000324C3">
      <w:pPr>
        <w:jc w:val="center"/>
        <w:rPr>
          <w:sz w:val="28"/>
          <w:szCs w:val="28"/>
        </w:rPr>
      </w:pPr>
      <w:r w:rsidRPr="009D7112">
        <w:rPr>
          <w:b/>
          <w:sz w:val="28"/>
          <w:szCs w:val="28"/>
          <w:u w:val="single"/>
        </w:rPr>
        <w:t>REPLACEMENT OPTIONS</w:t>
      </w:r>
    </w:p>
    <w:p w:rsidR="004A5BB1" w:rsidRPr="009D7112" w:rsidRDefault="000E4520" w:rsidP="004A5BB1">
      <w:pPr>
        <w:rPr>
          <w:b/>
          <w:sz w:val="26"/>
          <w:szCs w:val="26"/>
          <w:u w:val="single"/>
        </w:rPr>
      </w:pPr>
      <w:r w:rsidRPr="009D7112">
        <w:rPr>
          <w:b/>
          <w:sz w:val="26"/>
          <w:szCs w:val="26"/>
          <w:u w:val="single"/>
        </w:rPr>
        <w:t xml:space="preserve">Option 1:  </w:t>
      </w:r>
      <w:r w:rsidR="0065091E" w:rsidRPr="009D7112">
        <w:rPr>
          <w:b/>
          <w:sz w:val="26"/>
          <w:szCs w:val="26"/>
          <w:u w:val="single"/>
        </w:rPr>
        <w:t>Six (6)</w:t>
      </w:r>
      <w:r w:rsidRPr="009D7112">
        <w:rPr>
          <w:b/>
          <w:sz w:val="26"/>
          <w:szCs w:val="26"/>
          <w:u w:val="single"/>
        </w:rPr>
        <w:t xml:space="preserve"> 40-50 Unit Community-Based Shelter Bui</w:t>
      </w:r>
      <w:r w:rsidR="00E41279" w:rsidRPr="009D7112">
        <w:rPr>
          <w:b/>
          <w:sz w:val="26"/>
          <w:szCs w:val="26"/>
          <w:u w:val="single"/>
        </w:rPr>
        <w:t>ldings</w:t>
      </w:r>
      <w:r w:rsidR="0065091E" w:rsidRPr="009D7112">
        <w:rPr>
          <w:b/>
          <w:sz w:val="26"/>
          <w:szCs w:val="26"/>
          <w:u w:val="single"/>
        </w:rPr>
        <w:t xml:space="preserve"> </w:t>
      </w:r>
    </w:p>
    <w:p w:rsidR="006C1087" w:rsidRPr="006C1087" w:rsidRDefault="006C1087" w:rsidP="006C1087">
      <w:pPr>
        <w:rPr>
          <w:sz w:val="24"/>
          <w:szCs w:val="24"/>
        </w:rPr>
      </w:pPr>
      <w:r w:rsidRPr="006C1087">
        <w:rPr>
          <w:sz w:val="24"/>
          <w:szCs w:val="24"/>
        </w:rPr>
        <w:t xml:space="preserve">In the District and across the country, best practices show that families can thrive and be more successful when shelter is provided in smaller, community-based, shelter programs.  The </w:t>
      </w:r>
      <w:r w:rsidRPr="006C1087">
        <w:rPr>
          <w:sz w:val="24"/>
          <w:szCs w:val="24"/>
        </w:rPr>
        <w:lastRenderedPageBreak/>
        <w:t xml:space="preserve">District is home to a number of excellent community-based family shelter programs, which have proven to be good neighbors, while providing critical emergency support for families.  </w:t>
      </w:r>
    </w:p>
    <w:p w:rsidR="004A5BB1" w:rsidRDefault="004A5BB1" w:rsidP="004A5BB1">
      <w:pPr>
        <w:rPr>
          <w:sz w:val="24"/>
          <w:szCs w:val="24"/>
        </w:rPr>
      </w:pPr>
      <w:r>
        <w:rPr>
          <w:sz w:val="24"/>
          <w:szCs w:val="24"/>
        </w:rPr>
        <w:t xml:space="preserve">Option </w:t>
      </w:r>
      <w:r w:rsidR="004D7E6C">
        <w:rPr>
          <w:sz w:val="24"/>
          <w:szCs w:val="24"/>
        </w:rPr>
        <w:t>one</w:t>
      </w:r>
      <w:r>
        <w:rPr>
          <w:sz w:val="24"/>
          <w:szCs w:val="24"/>
        </w:rPr>
        <w:t xml:space="preserve"> represents a one-to-one replacement of the </w:t>
      </w:r>
      <w:r w:rsidR="0078220A">
        <w:rPr>
          <w:sz w:val="24"/>
          <w:szCs w:val="24"/>
        </w:rPr>
        <w:t>DC General Family Shelter</w:t>
      </w:r>
      <w:r>
        <w:rPr>
          <w:sz w:val="24"/>
          <w:szCs w:val="24"/>
        </w:rPr>
        <w:t xml:space="preserve"> capacity</w:t>
      </w:r>
      <w:r w:rsidR="00B766D8">
        <w:rPr>
          <w:sz w:val="24"/>
          <w:szCs w:val="24"/>
        </w:rPr>
        <w:t xml:space="preserve"> by expanding the District’s inventory of smaller, neighborhood-based programs</w:t>
      </w:r>
      <w:r>
        <w:rPr>
          <w:sz w:val="24"/>
          <w:szCs w:val="24"/>
        </w:rPr>
        <w:t xml:space="preserve">.  </w:t>
      </w:r>
      <w:r w:rsidR="00B766D8" w:rsidRPr="00047221">
        <w:rPr>
          <w:sz w:val="24"/>
          <w:szCs w:val="24"/>
        </w:rPr>
        <w:t xml:space="preserve">These </w:t>
      </w:r>
      <w:r w:rsidR="004D7E6C" w:rsidRPr="00047221">
        <w:rPr>
          <w:sz w:val="24"/>
          <w:szCs w:val="24"/>
        </w:rPr>
        <w:t xml:space="preserve">facilities </w:t>
      </w:r>
      <w:r w:rsidR="004D7E6C">
        <w:rPr>
          <w:sz w:val="24"/>
          <w:szCs w:val="24"/>
        </w:rPr>
        <w:t>would</w:t>
      </w:r>
      <w:r w:rsidR="00B766D8" w:rsidRPr="00047221">
        <w:rPr>
          <w:sz w:val="24"/>
          <w:szCs w:val="24"/>
        </w:rPr>
        <w:t xml:space="preserve"> be in various locations throughout the City, to avoid undue burden on any community and to better integrate these uses in neighborhoods.</w:t>
      </w:r>
      <w:r w:rsidR="00F4383F">
        <w:rPr>
          <w:sz w:val="24"/>
          <w:szCs w:val="24"/>
        </w:rPr>
        <w:t xml:space="preserve">  Each location would ideally have no more than 50 families at one location.  </w:t>
      </w:r>
    </w:p>
    <w:p w:rsidR="004D7E6C" w:rsidRDefault="004D7E6C" w:rsidP="004D7E6C">
      <w:pPr>
        <w:rPr>
          <w:sz w:val="24"/>
          <w:szCs w:val="24"/>
        </w:rPr>
      </w:pPr>
      <w:r w:rsidRPr="004D7E6C">
        <w:rPr>
          <w:sz w:val="24"/>
          <w:szCs w:val="24"/>
        </w:rPr>
        <w:t>Multiple, community-based shelters provide greater choice for families and better access to existing jobs, schools, healthcare, and personal networks.</w:t>
      </w:r>
      <w:r>
        <w:rPr>
          <w:sz w:val="24"/>
          <w:szCs w:val="24"/>
        </w:rPr>
        <w:t xml:space="preserve">  </w:t>
      </w:r>
      <w:r w:rsidRPr="004D7E6C">
        <w:rPr>
          <w:sz w:val="24"/>
          <w:szCs w:val="24"/>
        </w:rPr>
        <w:t>Smaller shelters located within thriving neighborhoods provide a family friendly environment</w:t>
      </w:r>
      <w:r>
        <w:rPr>
          <w:sz w:val="24"/>
          <w:szCs w:val="24"/>
        </w:rPr>
        <w:t>, and safe and secure units</w:t>
      </w:r>
      <w:r w:rsidRPr="004D7E6C">
        <w:rPr>
          <w:sz w:val="24"/>
          <w:szCs w:val="24"/>
        </w:rPr>
        <w:t>.</w:t>
      </w:r>
    </w:p>
    <w:p w:rsidR="00360205" w:rsidRDefault="00270DD1" w:rsidP="00270DD1">
      <w:pPr>
        <w:rPr>
          <w:sz w:val="24"/>
          <w:szCs w:val="24"/>
        </w:rPr>
      </w:pPr>
      <w:r>
        <w:rPr>
          <w:sz w:val="24"/>
          <w:szCs w:val="24"/>
        </w:rPr>
        <w:t>Programmatically, each building would provide s</w:t>
      </w:r>
      <w:r w:rsidRPr="00AC5F4D">
        <w:rPr>
          <w:sz w:val="24"/>
          <w:szCs w:val="24"/>
        </w:rPr>
        <w:t>eparate rooms for each family, some with individual bathrooms, some with shared bathrooms, communal eating areas or kitchenette</w:t>
      </w:r>
      <w:r w:rsidR="00FB10CA">
        <w:rPr>
          <w:sz w:val="24"/>
          <w:szCs w:val="24"/>
        </w:rPr>
        <w:t>s</w:t>
      </w:r>
      <w:r w:rsidRPr="00AC5F4D">
        <w:rPr>
          <w:sz w:val="24"/>
          <w:szCs w:val="24"/>
        </w:rPr>
        <w:t xml:space="preserve"> within individual room</w:t>
      </w:r>
      <w:r w:rsidR="00FB10CA">
        <w:rPr>
          <w:sz w:val="24"/>
          <w:szCs w:val="24"/>
        </w:rPr>
        <w:t>s</w:t>
      </w:r>
      <w:r w:rsidRPr="00AC5F4D">
        <w:rPr>
          <w:sz w:val="24"/>
          <w:szCs w:val="24"/>
        </w:rPr>
        <w:t>, on-site offices for shelter program operations, case management, community meeting areas, and access to playground and laundry facilities.</w:t>
      </w:r>
    </w:p>
    <w:p w:rsidR="001F7789" w:rsidRDefault="001F7789" w:rsidP="00270DD1">
      <w:pPr>
        <w:rPr>
          <w:sz w:val="24"/>
          <w:szCs w:val="24"/>
        </w:rPr>
      </w:pPr>
      <w:r>
        <w:rPr>
          <w:sz w:val="24"/>
          <w:szCs w:val="24"/>
        </w:rPr>
        <w:t xml:space="preserve">The </w:t>
      </w:r>
      <w:r w:rsidR="005702CC">
        <w:rPr>
          <w:sz w:val="24"/>
          <w:szCs w:val="24"/>
        </w:rPr>
        <w:t xml:space="preserve">timeline for </w:t>
      </w:r>
      <w:r>
        <w:rPr>
          <w:sz w:val="24"/>
          <w:szCs w:val="24"/>
        </w:rPr>
        <w:t>creating these Community</w:t>
      </w:r>
      <w:r w:rsidR="0078220A">
        <w:rPr>
          <w:sz w:val="24"/>
          <w:szCs w:val="24"/>
        </w:rPr>
        <w:t>-</w:t>
      </w:r>
      <w:r>
        <w:rPr>
          <w:sz w:val="24"/>
          <w:szCs w:val="24"/>
        </w:rPr>
        <w:t xml:space="preserve">Based Shelter buildings </w:t>
      </w:r>
      <w:r w:rsidR="005702CC">
        <w:rPr>
          <w:sz w:val="24"/>
          <w:szCs w:val="24"/>
        </w:rPr>
        <w:t xml:space="preserve">would be largely based on the </w:t>
      </w:r>
      <w:r>
        <w:rPr>
          <w:sz w:val="24"/>
          <w:szCs w:val="24"/>
        </w:rPr>
        <w:t>SFO schedule above</w:t>
      </w:r>
      <w:r w:rsidR="005702CC">
        <w:rPr>
          <w:sz w:val="24"/>
          <w:szCs w:val="24"/>
        </w:rPr>
        <w:t>; however, the timeline is also</w:t>
      </w:r>
      <w:r>
        <w:rPr>
          <w:sz w:val="24"/>
          <w:szCs w:val="24"/>
        </w:rPr>
        <w:t xml:space="preserve"> contingent on </w:t>
      </w:r>
      <w:r w:rsidR="005702CC">
        <w:rPr>
          <w:sz w:val="24"/>
          <w:szCs w:val="24"/>
        </w:rPr>
        <w:t xml:space="preserve">when </w:t>
      </w:r>
      <w:r>
        <w:rPr>
          <w:sz w:val="24"/>
          <w:szCs w:val="24"/>
        </w:rPr>
        <w:t>responses from the private sector</w:t>
      </w:r>
      <w:r w:rsidR="005702CC">
        <w:rPr>
          <w:sz w:val="24"/>
          <w:szCs w:val="24"/>
        </w:rPr>
        <w:t xml:space="preserve"> are received</w:t>
      </w:r>
      <w:r>
        <w:rPr>
          <w:sz w:val="24"/>
          <w:szCs w:val="24"/>
        </w:rPr>
        <w:t>, and the schedules that can be negotiated with those private respondents.</w:t>
      </w:r>
    </w:p>
    <w:p w:rsidR="009D7112" w:rsidRDefault="009D7112" w:rsidP="00360205">
      <w:pPr>
        <w:rPr>
          <w:b/>
          <w:sz w:val="24"/>
          <w:szCs w:val="24"/>
          <w:u w:val="single"/>
        </w:rPr>
      </w:pPr>
    </w:p>
    <w:p w:rsidR="00360205" w:rsidRPr="009D7112" w:rsidRDefault="00360205" w:rsidP="00360205">
      <w:pPr>
        <w:rPr>
          <w:b/>
          <w:sz w:val="26"/>
          <w:szCs w:val="26"/>
          <w:u w:val="single"/>
        </w:rPr>
      </w:pPr>
      <w:r w:rsidRPr="009D7112">
        <w:rPr>
          <w:b/>
          <w:sz w:val="26"/>
          <w:szCs w:val="26"/>
          <w:u w:val="single"/>
        </w:rPr>
        <w:t xml:space="preserve">Option 2:  </w:t>
      </w:r>
      <w:r w:rsidR="005702CC" w:rsidRPr="009D7112">
        <w:rPr>
          <w:b/>
          <w:sz w:val="26"/>
          <w:szCs w:val="26"/>
          <w:u w:val="single"/>
        </w:rPr>
        <w:t xml:space="preserve">A </w:t>
      </w:r>
      <w:r w:rsidRPr="009D7112">
        <w:rPr>
          <w:b/>
          <w:sz w:val="26"/>
          <w:szCs w:val="26"/>
          <w:u w:val="single"/>
        </w:rPr>
        <w:t xml:space="preserve">Combination of Small (40-50 unit) and Medium (60-100 unit) Community-Based Shelter Buildings </w:t>
      </w:r>
    </w:p>
    <w:p w:rsidR="00360205" w:rsidRPr="00360205" w:rsidRDefault="00360205" w:rsidP="00360205">
      <w:pPr>
        <w:rPr>
          <w:sz w:val="24"/>
          <w:szCs w:val="24"/>
        </w:rPr>
      </w:pPr>
      <w:r w:rsidRPr="00360205">
        <w:rPr>
          <w:sz w:val="24"/>
          <w:szCs w:val="24"/>
        </w:rPr>
        <w:t xml:space="preserve">The ability of the District to lease or build replacement shelters under this Plan will be shaped by the response to the SFO and the review of available District-owned buildings.  Option two represents the possibility that the best options to create replacement shelter units will be through a combination of several smaller shelter facilities of no more than 50 units and medium size buildings of 60-100 families.  </w:t>
      </w:r>
    </w:p>
    <w:p w:rsidR="005702CC" w:rsidRDefault="00360205">
      <w:pPr>
        <w:rPr>
          <w:sz w:val="24"/>
          <w:szCs w:val="24"/>
        </w:rPr>
      </w:pPr>
      <w:r w:rsidRPr="00360205">
        <w:rPr>
          <w:sz w:val="24"/>
          <w:szCs w:val="24"/>
        </w:rPr>
        <w:t>Whether a shelter is small or medium size, each building would provide a similar programming model, including separate rooms for each family, some with individual bathrooms, some with shared bathrooms, communal eating areas or kitchenette</w:t>
      </w:r>
      <w:r w:rsidR="0078220A">
        <w:rPr>
          <w:sz w:val="24"/>
          <w:szCs w:val="24"/>
        </w:rPr>
        <w:t>s</w:t>
      </w:r>
      <w:r w:rsidRPr="00360205">
        <w:rPr>
          <w:sz w:val="24"/>
          <w:szCs w:val="24"/>
        </w:rPr>
        <w:t xml:space="preserve"> within individual room</w:t>
      </w:r>
      <w:r w:rsidR="0078220A">
        <w:rPr>
          <w:sz w:val="24"/>
          <w:szCs w:val="24"/>
        </w:rPr>
        <w:t>s</w:t>
      </w:r>
      <w:r w:rsidRPr="00360205">
        <w:rPr>
          <w:sz w:val="24"/>
          <w:szCs w:val="24"/>
        </w:rPr>
        <w:t>, on-site offices for shelter program operations, case management, community meeting areas, and access to playground and laundry facilities.</w:t>
      </w:r>
    </w:p>
    <w:p w:rsidR="00270DD1" w:rsidRDefault="005702CC" w:rsidP="00270DD1">
      <w:pPr>
        <w:rPr>
          <w:sz w:val="24"/>
          <w:szCs w:val="24"/>
        </w:rPr>
      </w:pPr>
      <w:r w:rsidRPr="005702CC">
        <w:rPr>
          <w:sz w:val="24"/>
          <w:szCs w:val="24"/>
        </w:rPr>
        <w:t xml:space="preserve">The timeline for creating these Community-Based Shelter buildings would be largely based on the SFO schedule above; however, the timeline is also contingent on when responses from the </w:t>
      </w:r>
      <w:r w:rsidRPr="005702CC">
        <w:rPr>
          <w:sz w:val="24"/>
          <w:szCs w:val="24"/>
        </w:rPr>
        <w:lastRenderedPageBreak/>
        <w:t>private sector are received, and the schedules that can be negotiated with those private respondents.</w:t>
      </w:r>
    </w:p>
    <w:p w:rsidR="00360205" w:rsidRPr="009D7112" w:rsidRDefault="00360205" w:rsidP="00270DD1">
      <w:pPr>
        <w:rPr>
          <w:b/>
          <w:sz w:val="26"/>
          <w:szCs w:val="26"/>
          <w:u w:val="single"/>
        </w:rPr>
      </w:pPr>
      <w:r w:rsidRPr="009D7112">
        <w:rPr>
          <w:b/>
          <w:sz w:val="26"/>
          <w:szCs w:val="26"/>
          <w:u w:val="single"/>
        </w:rPr>
        <w:t xml:space="preserve">Cost Considerations </w:t>
      </w:r>
      <w:r w:rsidR="00BE611F" w:rsidRPr="009D7112">
        <w:rPr>
          <w:b/>
          <w:sz w:val="26"/>
          <w:szCs w:val="26"/>
          <w:u w:val="single"/>
        </w:rPr>
        <w:t>for</w:t>
      </w:r>
      <w:r w:rsidRPr="009D7112">
        <w:rPr>
          <w:b/>
          <w:sz w:val="26"/>
          <w:szCs w:val="26"/>
          <w:u w:val="single"/>
        </w:rPr>
        <w:t xml:space="preserve"> Lease</w:t>
      </w:r>
      <w:r w:rsidR="00BE611F" w:rsidRPr="009D7112">
        <w:rPr>
          <w:b/>
          <w:sz w:val="26"/>
          <w:szCs w:val="26"/>
          <w:u w:val="single"/>
        </w:rPr>
        <w:t>d Building</w:t>
      </w:r>
      <w:r w:rsidR="00944756" w:rsidRPr="009D7112">
        <w:rPr>
          <w:b/>
          <w:sz w:val="26"/>
          <w:szCs w:val="26"/>
          <w:u w:val="single"/>
        </w:rPr>
        <w:t>s</w:t>
      </w:r>
    </w:p>
    <w:p w:rsidR="00BE611F" w:rsidRDefault="00BE611F" w:rsidP="00BE611F">
      <w:pPr>
        <w:rPr>
          <w:sz w:val="24"/>
          <w:szCs w:val="24"/>
        </w:rPr>
      </w:pPr>
      <w:r>
        <w:rPr>
          <w:sz w:val="24"/>
          <w:szCs w:val="24"/>
        </w:rPr>
        <w:t>Leased buildings generally offer the District the greatest flexibility, as the renovations are funded through the agency’s operations budget and are amortized over a designated lease period.  Furthermore, s</w:t>
      </w:r>
      <w:r w:rsidRPr="00047221">
        <w:rPr>
          <w:sz w:val="24"/>
          <w:szCs w:val="24"/>
        </w:rPr>
        <w:t>oliciting and negotiating turnkey leased sites from the private sector can happen relatively quickly.  Property owners have an incentive to expedite design, approval and construction; because the District does</w:t>
      </w:r>
      <w:r w:rsidR="0078220A">
        <w:rPr>
          <w:sz w:val="24"/>
          <w:szCs w:val="24"/>
        </w:rPr>
        <w:t xml:space="preserve"> no</w:t>
      </w:r>
      <w:r w:rsidRPr="00047221">
        <w:rPr>
          <w:sz w:val="24"/>
          <w:szCs w:val="24"/>
        </w:rPr>
        <w:t xml:space="preserve">t start paying rent until the facility is ready for occupancy.  </w:t>
      </w:r>
    </w:p>
    <w:p w:rsidR="005702CC" w:rsidRDefault="00BE611F" w:rsidP="00270DD1">
      <w:pPr>
        <w:rPr>
          <w:sz w:val="24"/>
          <w:szCs w:val="24"/>
        </w:rPr>
      </w:pPr>
      <w:r>
        <w:rPr>
          <w:sz w:val="24"/>
          <w:szCs w:val="24"/>
        </w:rPr>
        <w:t>Facility costs may include</w:t>
      </w:r>
      <w:r w:rsidR="0078220A">
        <w:rPr>
          <w:sz w:val="24"/>
          <w:szCs w:val="24"/>
        </w:rPr>
        <w:t>:</w:t>
      </w:r>
      <w:r>
        <w:rPr>
          <w:sz w:val="24"/>
          <w:szCs w:val="24"/>
        </w:rPr>
        <w:t xml:space="preserve"> the amortized rent, renovation costs, security systems, utilities, and maintenance. Program costs include</w:t>
      </w:r>
      <w:r w:rsidR="0078220A">
        <w:rPr>
          <w:sz w:val="24"/>
          <w:szCs w:val="24"/>
        </w:rPr>
        <w:t>:</w:t>
      </w:r>
      <w:r>
        <w:rPr>
          <w:sz w:val="24"/>
          <w:szCs w:val="24"/>
        </w:rPr>
        <w:t xml:space="preserve"> administrative staff, program and case management staff, food, security, and other incidental costs.  The below chart outline</w:t>
      </w:r>
      <w:r w:rsidR="000324C3">
        <w:rPr>
          <w:sz w:val="24"/>
          <w:szCs w:val="24"/>
        </w:rPr>
        <w:t>s</w:t>
      </w:r>
      <w:r w:rsidR="0078220A">
        <w:rPr>
          <w:sz w:val="24"/>
          <w:szCs w:val="24"/>
        </w:rPr>
        <w:t xml:space="preserve"> the per-</w:t>
      </w:r>
      <w:r>
        <w:rPr>
          <w:sz w:val="24"/>
          <w:szCs w:val="24"/>
        </w:rPr>
        <w:t xml:space="preserve">building costs, </w:t>
      </w:r>
      <w:r w:rsidR="000324C3">
        <w:rPr>
          <w:sz w:val="24"/>
          <w:szCs w:val="24"/>
        </w:rPr>
        <w:t xml:space="preserve">which are </w:t>
      </w:r>
      <w:r>
        <w:rPr>
          <w:sz w:val="24"/>
          <w:szCs w:val="24"/>
        </w:rPr>
        <w:t>subject to variations based on SFO responses and subsequent negotiations.</w:t>
      </w:r>
    </w:p>
    <w:p w:rsidR="009D7112" w:rsidRDefault="009D7112" w:rsidP="00270DD1">
      <w:pPr>
        <w:rPr>
          <w:sz w:val="24"/>
          <w:szCs w:val="24"/>
        </w:rPr>
      </w:pPr>
    </w:p>
    <w:tbl>
      <w:tblPr>
        <w:tblStyle w:val="TableGrid"/>
        <w:tblW w:w="0" w:type="auto"/>
        <w:tblLook w:val="04A0" w:firstRow="1" w:lastRow="0" w:firstColumn="1" w:lastColumn="0" w:noHBand="0" w:noVBand="1"/>
      </w:tblPr>
      <w:tblGrid>
        <w:gridCol w:w="2737"/>
        <w:gridCol w:w="2650"/>
        <w:gridCol w:w="825"/>
        <w:gridCol w:w="1682"/>
        <w:gridCol w:w="1682"/>
      </w:tblGrid>
      <w:tr w:rsidR="00781655" w:rsidRPr="002D14EF" w:rsidTr="003E7607">
        <w:trPr>
          <w:trHeight w:val="746"/>
        </w:trPr>
        <w:tc>
          <w:tcPr>
            <w:tcW w:w="0" w:type="auto"/>
            <w:gridSpan w:val="5"/>
            <w:shd w:val="clear" w:color="auto" w:fill="9BBB59" w:themeFill="accent3"/>
          </w:tcPr>
          <w:p w:rsidR="00781655" w:rsidRDefault="00781655" w:rsidP="003E7607">
            <w:pPr>
              <w:spacing w:before="240"/>
              <w:jc w:val="center"/>
              <w:rPr>
                <w:b/>
                <w:bCs/>
                <w:sz w:val="24"/>
                <w:szCs w:val="24"/>
              </w:rPr>
            </w:pPr>
            <w:r w:rsidRPr="002D14EF">
              <w:rPr>
                <w:b/>
                <w:bCs/>
                <w:sz w:val="24"/>
                <w:szCs w:val="24"/>
              </w:rPr>
              <w:t xml:space="preserve">DC General Replacement Budget- Leased </w:t>
            </w:r>
            <w:r w:rsidR="00B879A6">
              <w:rPr>
                <w:b/>
                <w:bCs/>
                <w:sz w:val="24"/>
                <w:szCs w:val="24"/>
              </w:rPr>
              <w:t>Sites</w:t>
            </w:r>
            <w:r w:rsidRPr="002D14EF">
              <w:rPr>
                <w:b/>
                <w:bCs/>
                <w:sz w:val="24"/>
                <w:szCs w:val="24"/>
              </w:rPr>
              <w:t xml:space="preserve"> (40-50 units)</w:t>
            </w:r>
          </w:p>
          <w:p w:rsidR="009D7112" w:rsidRPr="002D14EF" w:rsidRDefault="009D7112" w:rsidP="007F17CD">
            <w:pPr>
              <w:jc w:val="center"/>
              <w:rPr>
                <w:b/>
                <w:bCs/>
                <w:sz w:val="24"/>
                <w:szCs w:val="24"/>
              </w:rPr>
            </w:pPr>
          </w:p>
        </w:tc>
      </w:tr>
      <w:tr w:rsidR="005702CC" w:rsidRPr="002D14EF" w:rsidTr="003E7607">
        <w:trPr>
          <w:trHeight w:val="611"/>
        </w:trPr>
        <w:tc>
          <w:tcPr>
            <w:tcW w:w="0" w:type="auto"/>
            <w:hideMark/>
          </w:tcPr>
          <w:p w:rsidR="005702CC" w:rsidRPr="002D14EF" w:rsidRDefault="005702CC" w:rsidP="0085794E">
            <w:pPr>
              <w:jc w:val="center"/>
              <w:rPr>
                <w:b/>
                <w:bCs/>
              </w:rPr>
            </w:pPr>
            <w:r w:rsidRPr="005702CC">
              <w:rPr>
                <w:b/>
                <w:bCs/>
                <w:sz w:val="24"/>
                <w:szCs w:val="24"/>
              </w:rPr>
              <w:t xml:space="preserve">Type of </w:t>
            </w:r>
            <w:r>
              <w:rPr>
                <w:b/>
                <w:bCs/>
                <w:sz w:val="24"/>
                <w:szCs w:val="24"/>
              </w:rPr>
              <w:t xml:space="preserve">Annual </w:t>
            </w:r>
            <w:r w:rsidRPr="005702CC">
              <w:rPr>
                <w:b/>
                <w:bCs/>
                <w:sz w:val="24"/>
                <w:szCs w:val="24"/>
              </w:rPr>
              <w:t>Cost</w:t>
            </w:r>
            <w:r>
              <w:rPr>
                <w:b/>
                <w:bCs/>
                <w:sz w:val="24"/>
                <w:szCs w:val="24"/>
              </w:rPr>
              <w:t xml:space="preserve"> (Per Building)</w:t>
            </w:r>
          </w:p>
        </w:tc>
        <w:tc>
          <w:tcPr>
            <w:tcW w:w="0" w:type="auto"/>
            <w:hideMark/>
          </w:tcPr>
          <w:p w:rsidR="005702CC" w:rsidRPr="002D14EF" w:rsidRDefault="005702CC" w:rsidP="00905DFB">
            <w:pPr>
              <w:jc w:val="center"/>
              <w:rPr>
                <w:b/>
                <w:bCs/>
              </w:rPr>
            </w:pPr>
            <w:r w:rsidRPr="005702CC">
              <w:rPr>
                <w:b/>
                <w:bCs/>
                <w:sz w:val="24"/>
                <w:szCs w:val="24"/>
              </w:rPr>
              <w:t>Description</w:t>
            </w:r>
          </w:p>
        </w:tc>
        <w:tc>
          <w:tcPr>
            <w:tcW w:w="0" w:type="auto"/>
            <w:hideMark/>
          </w:tcPr>
          <w:p w:rsidR="005702CC" w:rsidRPr="002D14EF" w:rsidRDefault="005702CC" w:rsidP="00905DFB">
            <w:pPr>
              <w:jc w:val="center"/>
              <w:rPr>
                <w:b/>
                <w:bCs/>
              </w:rPr>
            </w:pPr>
            <w:r w:rsidRPr="005702CC">
              <w:rPr>
                <w:b/>
                <w:bCs/>
                <w:sz w:val="24"/>
                <w:szCs w:val="24"/>
              </w:rPr>
              <w:t>One-Time Costs</w:t>
            </w:r>
            <w:r w:rsidRPr="002D14EF">
              <w:rPr>
                <w:b/>
                <w:bCs/>
              </w:rPr>
              <w:t xml:space="preserve"> </w:t>
            </w:r>
          </w:p>
        </w:tc>
        <w:tc>
          <w:tcPr>
            <w:tcW w:w="0" w:type="auto"/>
          </w:tcPr>
          <w:p w:rsidR="005702CC" w:rsidRDefault="005702CC" w:rsidP="0085794E">
            <w:pPr>
              <w:jc w:val="center"/>
              <w:rPr>
                <w:b/>
                <w:bCs/>
                <w:sz w:val="24"/>
                <w:szCs w:val="24"/>
              </w:rPr>
            </w:pPr>
            <w:r>
              <w:rPr>
                <w:b/>
                <w:bCs/>
                <w:sz w:val="24"/>
                <w:szCs w:val="24"/>
              </w:rPr>
              <w:t xml:space="preserve">Annual Operating Costs </w:t>
            </w:r>
            <w:r w:rsidR="000D64E0">
              <w:rPr>
                <w:b/>
                <w:bCs/>
                <w:sz w:val="24"/>
                <w:szCs w:val="24"/>
              </w:rPr>
              <w:t>(</w:t>
            </w:r>
            <w:r>
              <w:rPr>
                <w:b/>
                <w:bCs/>
                <w:sz w:val="24"/>
                <w:szCs w:val="24"/>
              </w:rPr>
              <w:t>per 40 unit building</w:t>
            </w:r>
            <w:r w:rsidR="000D64E0">
              <w:rPr>
                <w:b/>
                <w:bCs/>
                <w:sz w:val="24"/>
                <w:szCs w:val="24"/>
              </w:rPr>
              <w:t>)</w:t>
            </w:r>
          </w:p>
        </w:tc>
        <w:tc>
          <w:tcPr>
            <w:tcW w:w="0" w:type="auto"/>
            <w:hideMark/>
          </w:tcPr>
          <w:p w:rsidR="005702CC" w:rsidRPr="002D14EF" w:rsidRDefault="005702CC" w:rsidP="005702CC">
            <w:pPr>
              <w:jc w:val="center"/>
              <w:rPr>
                <w:b/>
                <w:bCs/>
              </w:rPr>
            </w:pPr>
            <w:r>
              <w:rPr>
                <w:b/>
                <w:bCs/>
                <w:sz w:val="24"/>
                <w:szCs w:val="24"/>
              </w:rPr>
              <w:t xml:space="preserve">Annual Operating Costs </w:t>
            </w:r>
            <w:r w:rsidR="000D64E0">
              <w:rPr>
                <w:b/>
                <w:bCs/>
                <w:sz w:val="24"/>
                <w:szCs w:val="24"/>
              </w:rPr>
              <w:t>(</w:t>
            </w:r>
            <w:r>
              <w:rPr>
                <w:b/>
                <w:bCs/>
                <w:sz w:val="24"/>
                <w:szCs w:val="24"/>
              </w:rPr>
              <w:t>per 50 unit building</w:t>
            </w:r>
            <w:r w:rsidR="000D64E0">
              <w:rPr>
                <w:b/>
                <w:bCs/>
                <w:sz w:val="24"/>
                <w:szCs w:val="24"/>
              </w:rPr>
              <w:t>)</w:t>
            </w:r>
          </w:p>
        </w:tc>
      </w:tr>
      <w:tr w:rsidR="005702CC" w:rsidRPr="002D14EF" w:rsidTr="003E7607">
        <w:trPr>
          <w:trHeight w:val="1500"/>
        </w:trPr>
        <w:tc>
          <w:tcPr>
            <w:tcW w:w="0" w:type="auto"/>
            <w:noWrap/>
            <w:hideMark/>
          </w:tcPr>
          <w:p w:rsidR="005702CC" w:rsidRDefault="005702CC" w:rsidP="00905DFB">
            <w:pPr>
              <w:rPr>
                <w:b/>
                <w:bCs/>
                <w:sz w:val="24"/>
                <w:szCs w:val="24"/>
              </w:rPr>
            </w:pPr>
            <w:r w:rsidRPr="000324C3">
              <w:rPr>
                <w:b/>
                <w:bCs/>
                <w:sz w:val="24"/>
                <w:szCs w:val="24"/>
              </w:rPr>
              <w:t xml:space="preserve">Facility Costs </w:t>
            </w:r>
          </w:p>
          <w:p w:rsidR="005702CC" w:rsidRPr="000324C3" w:rsidRDefault="005702CC" w:rsidP="00905DFB">
            <w:pPr>
              <w:rPr>
                <w:b/>
                <w:bCs/>
                <w:sz w:val="24"/>
                <w:szCs w:val="24"/>
              </w:rPr>
            </w:pPr>
            <w:r w:rsidRPr="000324C3">
              <w:rPr>
                <w:sz w:val="24"/>
                <w:szCs w:val="24"/>
              </w:rPr>
              <w:t>(40 -50 units)</w:t>
            </w:r>
          </w:p>
        </w:tc>
        <w:tc>
          <w:tcPr>
            <w:tcW w:w="0" w:type="auto"/>
            <w:hideMark/>
          </w:tcPr>
          <w:p w:rsidR="005702CC" w:rsidRPr="000324C3" w:rsidRDefault="005702CC" w:rsidP="000D64E0">
            <w:pPr>
              <w:rPr>
                <w:sz w:val="24"/>
                <w:szCs w:val="24"/>
              </w:rPr>
            </w:pPr>
            <w:r w:rsidRPr="000324C3">
              <w:rPr>
                <w:sz w:val="24"/>
                <w:szCs w:val="24"/>
              </w:rPr>
              <w:t>Total per unit cost is $2,000/month, which includes: Rent, Renovation, Furniture, Security System, Utilities, Cable/Phone Installation, Maintenance</w:t>
            </w:r>
          </w:p>
        </w:tc>
        <w:tc>
          <w:tcPr>
            <w:tcW w:w="0" w:type="auto"/>
            <w:hideMark/>
          </w:tcPr>
          <w:p w:rsidR="005702CC" w:rsidRPr="000324C3" w:rsidRDefault="005702CC" w:rsidP="005702CC">
            <w:pPr>
              <w:jc w:val="center"/>
              <w:rPr>
                <w:sz w:val="24"/>
                <w:szCs w:val="24"/>
              </w:rPr>
            </w:pPr>
            <w:r w:rsidRPr="000324C3">
              <w:rPr>
                <w:sz w:val="24"/>
                <w:szCs w:val="24"/>
              </w:rPr>
              <w:t>N/A</w:t>
            </w:r>
          </w:p>
        </w:tc>
        <w:tc>
          <w:tcPr>
            <w:tcW w:w="0" w:type="auto"/>
          </w:tcPr>
          <w:p w:rsidR="005702CC" w:rsidRPr="000324C3" w:rsidRDefault="000D64E0" w:rsidP="00781655">
            <w:pPr>
              <w:jc w:val="center"/>
              <w:rPr>
                <w:sz w:val="24"/>
                <w:szCs w:val="24"/>
              </w:rPr>
            </w:pPr>
            <w:r>
              <w:rPr>
                <w:sz w:val="24"/>
                <w:szCs w:val="24"/>
              </w:rPr>
              <w:t xml:space="preserve">        </w:t>
            </w:r>
            <w:r w:rsidR="00781655" w:rsidRPr="000324C3">
              <w:rPr>
                <w:sz w:val="24"/>
                <w:szCs w:val="24"/>
              </w:rPr>
              <w:t>$  960</w:t>
            </w:r>
            <w:r>
              <w:rPr>
                <w:sz w:val="24"/>
                <w:szCs w:val="24"/>
              </w:rPr>
              <w:t>,000</w:t>
            </w:r>
          </w:p>
        </w:tc>
        <w:tc>
          <w:tcPr>
            <w:tcW w:w="0" w:type="auto"/>
            <w:noWrap/>
            <w:hideMark/>
          </w:tcPr>
          <w:p w:rsidR="005702CC" w:rsidRPr="000324C3" w:rsidRDefault="00781655" w:rsidP="005702CC">
            <w:pPr>
              <w:jc w:val="right"/>
              <w:rPr>
                <w:sz w:val="24"/>
                <w:szCs w:val="24"/>
              </w:rPr>
            </w:pPr>
            <w:r>
              <w:rPr>
                <w:sz w:val="24"/>
                <w:szCs w:val="24"/>
              </w:rPr>
              <w:t>$ 1,200,000</w:t>
            </w:r>
          </w:p>
        </w:tc>
      </w:tr>
      <w:tr w:rsidR="005702CC" w:rsidRPr="002D14EF" w:rsidTr="003E7607">
        <w:trPr>
          <w:trHeight w:val="1215"/>
        </w:trPr>
        <w:tc>
          <w:tcPr>
            <w:tcW w:w="0" w:type="auto"/>
            <w:noWrap/>
            <w:hideMark/>
          </w:tcPr>
          <w:p w:rsidR="005702CC" w:rsidRPr="000324C3" w:rsidRDefault="005702CC" w:rsidP="007F17CD">
            <w:pPr>
              <w:rPr>
                <w:b/>
                <w:bCs/>
                <w:sz w:val="24"/>
                <w:szCs w:val="24"/>
              </w:rPr>
            </w:pPr>
            <w:r w:rsidRPr="000324C3">
              <w:rPr>
                <w:b/>
                <w:bCs/>
                <w:sz w:val="24"/>
                <w:szCs w:val="24"/>
              </w:rPr>
              <w:t xml:space="preserve">Program and Operations </w:t>
            </w:r>
          </w:p>
        </w:tc>
        <w:tc>
          <w:tcPr>
            <w:tcW w:w="0" w:type="auto"/>
            <w:hideMark/>
          </w:tcPr>
          <w:p w:rsidR="005702CC" w:rsidRPr="000324C3" w:rsidRDefault="005702CC" w:rsidP="007F17CD">
            <w:pPr>
              <w:rPr>
                <w:sz w:val="24"/>
                <w:szCs w:val="24"/>
              </w:rPr>
            </w:pPr>
            <w:r w:rsidRPr="000324C3">
              <w:rPr>
                <w:sz w:val="24"/>
                <w:szCs w:val="24"/>
              </w:rPr>
              <w:t>Administrative and program staff, food, security</w:t>
            </w:r>
          </w:p>
        </w:tc>
        <w:tc>
          <w:tcPr>
            <w:tcW w:w="0" w:type="auto"/>
            <w:hideMark/>
          </w:tcPr>
          <w:p w:rsidR="005702CC" w:rsidRPr="000324C3" w:rsidRDefault="005702CC" w:rsidP="005702CC">
            <w:pPr>
              <w:jc w:val="center"/>
              <w:rPr>
                <w:sz w:val="24"/>
                <w:szCs w:val="24"/>
              </w:rPr>
            </w:pPr>
            <w:r w:rsidRPr="000324C3">
              <w:rPr>
                <w:sz w:val="24"/>
                <w:szCs w:val="24"/>
              </w:rPr>
              <w:t>N/A</w:t>
            </w:r>
          </w:p>
        </w:tc>
        <w:tc>
          <w:tcPr>
            <w:tcW w:w="0" w:type="auto"/>
          </w:tcPr>
          <w:p w:rsidR="005702CC" w:rsidRPr="000324C3" w:rsidRDefault="005702CC" w:rsidP="0085794E">
            <w:pPr>
              <w:jc w:val="right"/>
              <w:rPr>
                <w:sz w:val="24"/>
                <w:szCs w:val="24"/>
              </w:rPr>
            </w:pPr>
            <w:r>
              <w:rPr>
                <w:sz w:val="24"/>
                <w:szCs w:val="24"/>
              </w:rPr>
              <w:t xml:space="preserve"> 2,966,000</w:t>
            </w:r>
          </w:p>
        </w:tc>
        <w:tc>
          <w:tcPr>
            <w:tcW w:w="0" w:type="auto"/>
            <w:noWrap/>
            <w:hideMark/>
          </w:tcPr>
          <w:p w:rsidR="005702CC" w:rsidRPr="000324C3" w:rsidRDefault="005702CC" w:rsidP="0085794E">
            <w:pPr>
              <w:jc w:val="right"/>
              <w:rPr>
                <w:sz w:val="24"/>
                <w:szCs w:val="24"/>
              </w:rPr>
            </w:pPr>
            <w:r w:rsidRPr="000324C3">
              <w:rPr>
                <w:sz w:val="24"/>
                <w:szCs w:val="24"/>
              </w:rPr>
              <w:t xml:space="preserve"> 2,966,000 </w:t>
            </w:r>
          </w:p>
        </w:tc>
      </w:tr>
      <w:tr w:rsidR="005702CC" w:rsidRPr="000324C3" w:rsidTr="003E7607">
        <w:trPr>
          <w:trHeight w:val="450"/>
        </w:trPr>
        <w:tc>
          <w:tcPr>
            <w:tcW w:w="0" w:type="auto"/>
            <w:gridSpan w:val="2"/>
            <w:noWrap/>
          </w:tcPr>
          <w:p w:rsidR="005702CC" w:rsidRPr="000D64E0" w:rsidRDefault="005702CC" w:rsidP="000D64E0">
            <w:pPr>
              <w:jc w:val="right"/>
              <w:rPr>
                <w:b/>
                <w:bCs/>
                <w:sz w:val="24"/>
                <w:szCs w:val="24"/>
              </w:rPr>
            </w:pPr>
            <w:r>
              <w:rPr>
                <w:b/>
                <w:bCs/>
                <w:sz w:val="24"/>
                <w:szCs w:val="24"/>
              </w:rPr>
              <w:t xml:space="preserve">Total Cost </w:t>
            </w:r>
            <w:r w:rsidRPr="000324C3">
              <w:rPr>
                <w:b/>
                <w:bCs/>
                <w:sz w:val="24"/>
                <w:szCs w:val="24"/>
              </w:rPr>
              <w:t>Per Building</w:t>
            </w:r>
          </w:p>
        </w:tc>
        <w:tc>
          <w:tcPr>
            <w:tcW w:w="0" w:type="auto"/>
          </w:tcPr>
          <w:p w:rsidR="005702CC" w:rsidRPr="000324C3" w:rsidRDefault="005702CC" w:rsidP="009031CA">
            <w:pPr>
              <w:jc w:val="center"/>
              <w:rPr>
                <w:sz w:val="24"/>
                <w:szCs w:val="24"/>
              </w:rPr>
            </w:pPr>
            <w:r>
              <w:rPr>
                <w:sz w:val="24"/>
                <w:szCs w:val="24"/>
              </w:rPr>
              <w:t>N/A</w:t>
            </w:r>
          </w:p>
        </w:tc>
        <w:tc>
          <w:tcPr>
            <w:tcW w:w="0" w:type="auto"/>
          </w:tcPr>
          <w:p w:rsidR="005702CC" w:rsidRPr="005702CC" w:rsidRDefault="00781655" w:rsidP="004644EF">
            <w:pPr>
              <w:jc w:val="right"/>
              <w:rPr>
                <w:b/>
                <w:sz w:val="24"/>
                <w:szCs w:val="24"/>
              </w:rPr>
            </w:pPr>
            <w:r w:rsidRPr="005702CC">
              <w:rPr>
                <w:b/>
                <w:sz w:val="24"/>
                <w:szCs w:val="24"/>
              </w:rPr>
              <w:t>$ 3,926,000</w:t>
            </w:r>
          </w:p>
        </w:tc>
        <w:tc>
          <w:tcPr>
            <w:tcW w:w="0" w:type="auto"/>
            <w:noWrap/>
          </w:tcPr>
          <w:p w:rsidR="005702CC" w:rsidRPr="005702CC" w:rsidRDefault="00781655" w:rsidP="00781655">
            <w:pPr>
              <w:jc w:val="right"/>
              <w:rPr>
                <w:b/>
                <w:sz w:val="24"/>
                <w:szCs w:val="24"/>
              </w:rPr>
            </w:pPr>
            <w:r w:rsidRPr="005702CC">
              <w:rPr>
                <w:b/>
                <w:sz w:val="24"/>
                <w:szCs w:val="24"/>
              </w:rPr>
              <w:t>$ 4,166,000</w:t>
            </w:r>
            <w:r w:rsidR="005702CC" w:rsidRPr="005702CC">
              <w:rPr>
                <w:b/>
                <w:sz w:val="24"/>
                <w:szCs w:val="24"/>
              </w:rPr>
              <w:t xml:space="preserve"> </w:t>
            </w:r>
          </w:p>
        </w:tc>
      </w:tr>
      <w:tr w:rsidR="005702CC" w:rsidRPr="000324C3" w:rsidTr="003E7607">
        <w:trPr>
          <w:trHeight w:val="450"/>
        </w:trPr>
        <w:tc>
          <w:tcPr>
            <w:tcW w:w="0" w:type="auto"/>
            <w:gridSpan w:val="2"/>
            <w:noWrap/>
          </w:tcPr>
          <w:p w:rsidR="005702CC" w:rsidRDefault="005702CC" w:rsidP="00595241">
            <w:pPr>
              <w:jc w:val="right"/>
              <w:rPr>
                <w:b/>
                <w:bCs/>
                <w:sz w:val="24"/>
                <w:szCs w:val="24"/>
              </w:rPr>
            </w:pPr>
            <w:r>
              <w:rPr>
                <w:b/>
                <w:bCs/>
                <w:sz w:val="24"/>
                <w:szCs w:val="24"/>
              </w:rPr>
              <w:t xml:space="preserve">Total Cost for 6 </w:t>
            </w:r>
            <w:r w:rsidR="00781655">
              <w:rPr>
                <w:b/>
                <w:bCs/>
                <w:sz w:val="24"/>
                <w:szCs w:val="24"/>
              </w:rPr>
              <w:t>Buildings</w:t>
            </w:r>
          </w:p>
        </w:tc>
        <w:tc>
          <w:tcPr>
            <w:tcW w:w="0" w:type="auto"/>
          </w:tcPr>
          <w:p w:rsidR="005702CC" w:rsidRDefault="000D64E0" w:rsidP="009031CA">
            <w:pPr>
              <w:jc w:val="center"/>
              <w:rPr>
                <w:sz w:val="24"/>
                <w:szCs w:val="24"/>
              </w:rPr>
            </w:pPr>
            <w:r>
              <w:rPr>
                <w:sz w:val="24"/>
                <w:szCs w:val="24"/>
              </w:rPr>
              <w:t>N/A</w:t>
            </w:r>
          </w:p>
        </w:tc>
        <w:tc>
          <w:tcPr>
            <w:tcW w:w="0" w:type="auto"/>
          </w:tcPr>
          <w:p w:rsidR="005702CC" w:rsidRPr="005702CC" w:rsidRDefault="00781655" w:rsidP="004644EF">
            <w:pPr>
              <w:jc w:val="right"/>
              <w:rPr>
                <w:b/>
                <w:sz w:val="24"/>
                <w:szCs w:val="24"/>
              </w:rPr>
            </w:pPr>
            <w:r>
              <w:rPr>
                <w:b/>
                <w:sz w:val="24"/>
                <w:szCs w:val="24"/>
              </w:rPr>
              <w:t>$23,556,000</w:t>
            </w:r>
          </w:p>
        </w:tc>
        <w:tc>
          <w:tcPr>
            <w:tcW w:w="0" w:type="auto"/>
            <w:noWrap/>
          </w:tcPr>
          <w:p w:rsidR="005702CC" w:rsidRPr="005702CC" w:rsidRDefault="006A1C55" w:rsidP="005702CC">
            <w:pPr>
              <w:jc w:val="right"/>
              <w:rPr>
                <w:b/>
                <w:sz w:val="24"/>
                <w:szCs w:val="24"/>
              </w:rPr>
            </w:pPr>
            <w:r>
              <w:rPr>
                <w:b/>
                <w:sz w:val="24"/>
                <w:szCs w:val="24"/>
              </w:rPr>
              <w:t>$24,99</w:t>
            </w:r>
            <w:bookmarkStart w:id="0" w:name="_GoBack"/>
            <w:bookmarkEnd w:id="0"/>
            <w:r w:rsidR="00781655">
              <w:rPr>
                <w:b/>
                <w:sz w:val="24"/>
                <w:szCs w:val="24"/>
              </w:rPr>
              <w:t>6,000</w:t>
            </w:r>
          </w:p>
        </w:tc>
      </w:tr>
    </w:tbl>
    <w:p w:rsidR="00781655" w:rsidRDefault="00781655">
      <w:pPr>
        <w:rPr>
          <w:b/>
          <w:sz w:val="24"/>
          <w:szCs w:val="24"/>
          <w:u w:val="single"/>
        </w:rPr>
      </w:pPr>
      <w:r>
        <w:rPr>
          <w:b/>
          <w:sz w:val="24"/>
          <w:szCs w:val="24"/>
          <w:u w:val="single"/>
        </w:rPr>
        <w:br w:type="page"/>
      </w:r>
    </w:p>
    <w:p w:rsidR="00781655" w:rsidRDefault="00781655" w:rsidP="00D53346">
      <w:pPr>
        <w:rPr>
          <w:b/>
          <w:sz w:val="24"/>
          <w:szCs w:val="24"/>
          <w:u w:val="single"/>
        </w:rPr>
      </w:pPr>
    </w:p>
    <w:p w:rsidR="00BE611F" w:rsidRPr="009D7112" w:rsidRDefault="00BE611F" w:rsidP="00D53346">
      <w:pPr>
        <w:rPr>
          <w:b/>
          <w:sz w:val="26"/>
          <w:szCs w:val="26"/>
          <w:u w:val="single"/>
        </w:rPr>
      </w:pPr>
      <w:r w:rsidRPr="009D7112">
        <w:rPr>
          <w:b/>
          <w:sz w:val="26"/>
          <w:szCs w:val="26"/>
          <w:u w:val="single"/>
        </w:rPr>
        <w:t>Cost Considerations</w:t>
      </w:r>
      <w:r w:rsidR="000324C3" w:rsidRPr="009D7112">
        <w:rPr>
          <w:b/>
          <w:sz w:val="26"/>
          <w:szCs w:val="26"/>
          <w:u w:val="single"/>
        </w:rPr>
        <w:t xml:space="preserve"> f</w:t>
      </w:r>
      <w:r w:rsidR="00F835A1" w:rsidRPr="009D7112">
        <w:rPr>
          <w:b/>
          <w:sz w:val="26"/>
          <w:szCs w:val="26"/>
          <w:u w:val="single"/>
        </w:rPr>
        <w:t>or New Construction of District-Owned S</w:t>
      </w:r>
      <w:r w:rsidR="000324C3" w:rsidRPr="009D7112">
        <w:rPr>
          <w:b/>
          <w:sz w:val="26"/>
          <w:szCs w:val="26"/>
          <w:u w:val="single"/>
        </w:rPr>
        <w:t>ites</w:t>
      </w:r>
    </w:p>
    <w:p w:rsidR="00BE611F" w:rsidRPr="00047221" w:rsidRDefault="00BE611F" w:rsidP="00BE611F">
      <w:pPr>
        <w:rPr>
          <w:sz w:val="24"/>
          <w:szCs w:val="24"/>
        </w:rPr>
      </w:pPr>
      <w:r>
        <w:rPr>
          <w:sz w:val="24"/>
          <w:szCs w:val="24"/>
        </w:rPr>
        <w:t xml:space="preserve">To build or renovate a </w:t>
      </w:r>
      <w:r w:rsidRPr="00047221">
        <w:rPr>
          <w:sz w:val="24"/>
          <w:szCs w:val="24"/>
        </w:rPr>
        <w:t xml:space="preserve">District-owned </w:t>
      </w:r>
      <w:r>
        <w:rPr>
          <w:sz w:val="24"/>
          <w:szCs w:val="24"/>
        </w:rPr>
        <w:t xml:space="preserve">site, the District would provide </w:t>
      </w:r>
      <w:r w:rsidRPr="00047221">
        <w:rPr>
          <w:sz w:val="24"/>
          <w:szCs w:val="24"/>
        </w:rPr>
        <w:t>funding through the Capital Budget</w:t>
      </w:r>
      <w:r>
        <w:rPr>
          <w:sz w:val="24"/>
          <w:szCs w:val="24"/>
        </w:rPr>
        <w:t xml:space="preserve">.  Typically, capital projects </w:t>
      </w:r>
      <w:r w:rsidRPr="00047221">
        <w:rPr>
          <w:sz w:val="24"/>
          <w:szCs w:val="24"/>
        </w:rPr>
        <w:t xml:space="preserve">require a longer timeline due to permitting and approval processes.  </w:t>
      </w:r>
      <w:r>
        <w:rPr>
          <w:sz w:val="24"/>
          <w:szCs w:val="24"/>
        </w:rPr>
        <w:t>In addition, there</w:t>
      </w:r>
      <w:r w:rsidRPr="00047221">
        <w:rPr>
          <w:sz w:val="24"/>
          <w:szCs w:val="24"/>
        </w:rPr>
        <w:t xml:space="preserve"> are currently few District-owned sites of sufficient size to accommodate the program needs. </w:t>
      </w:r>
    </w:p>
    <w:p w:rsidR="00BE611F" w:rsidRDefault="00BE611F" w:rsidP="00D53346">
      <w:pPr>
        <w:rPr>
          <w:sz w:val="24"/>
          <w:szCs w:val="24"/>
        </w:rPr>
      </w:pPr>
      <w:r>
        <w:rPr>
          <w:sz w:val="24"/>
          <w:szCs w:val="24"/>
        </w:rPr>
        <w:t>In addition to the one-time renovation or construction costs, there would be annual facility costs such as property management fees, utility costs, and maintenance. Program costs would be the same as for a leased building, and would include administrative staff, program and case management staff, food, security, and other incidental costs.  The below chart outline</w:t>
      </w:r>
      <w:r w:rsidR="000324C3">
        <w:rPr>
          <w:sz w:val="24"/>
          <w:szCs w:val="24"/>
        </w:rPr>
        <w:t>s</w:t>
      </w:r>
      <w:r>
        <w:rPr>
          <w:sz w:val="24"/>
          <w:szCs w:val="24"/>
        </w:rPr>
        <w:t xml:space="preserve"> the per</w:t>
      </w:r>
      <w:r w:rsidR="0078220A">
        <w:rPr>
          <w:sz w:val="24"/>
          <w:szCs w:val="24"/>
        </w:rPr>
        <w:t>-</w:t>
      </w:r>
      <w:r w:rsidR="000324C3">
        <w:rPr>
          <w:sz w:val="24"/>
          <w:szCs w:val="24"/>
        </w:rPr>
        <w:t>b</w:t>
      </w:r>
      <w:r>
        <w:rPr>
          <w:sz w:val="24"/>
          <w:szCs w:val="24"/>
        </w:rPr>
        <w:t>u</w:t>
      </w:r>
      <w:r w:rsidR="000324C3">
        <w:rPr>
          <w:sz w:val="24"/>
          <w:szCs w:val="24"/>
        </w:rPr>
        <w:t xml:space="preserve">ilding costs, which are </w:t>
      </w:r>
      <w:r>
        <w:rPr>
          <w:sz w:val="24"/>
          <w:szCs w:val="24"/>
        </w:rPr>
        <w:t>subject to variations based on</w:t>
      </w:r>
      <w:r w:rsidR="000324C3">
        <w:rPr>
          <w:sz w:val="24"/>
          <w:szCs w:val="24"/>
        </w:rPr>
        <w:t xml:space="preserve"> actual site development considerations.</w:t>
      </w:r>
    </w:p>
    <w:p w:rsidR="00781655" w:rsidRDefault="00781655" w:rsidP="00D53346">
      <w:pPr>
        <w:rPr>
          <w:sz w:val="24"/>
          <w:szCs w:val="24"/>
        </w:rPr>
      </w:pPr>
    </w:p>
    <w:tbl>
      <w:tblPr>
        <w:tblStyle w:val="TableGrid"/>
        <w:tblW w:w="0" w:type="auto"/>
        <w:tblLook w:val="04A0" w:firstRow="1" w:lastRow="0" w:firstColumn="1" w:lastColumn="0" w:noHBand="0" w:noVBand="1"/>
      </w:tblPr>
      <w:tblGrid>
        <w:gridCol w:w="2518"/>
        <w:gridCol w:w="2137"/>
        <w:gridCol w:w="1933"/>
        <w:gridCol w:w="1980"/>
      </w:tblGrid>
      <w:tr w:rsidR="00D53346" w:rsidRPr="002D14EF" w:rsidTr="009D7112">
        <w:trPr>
          <w:trHeight w:val="746"/>
        </w:trPr>
        <w:tc>
          <w:tcPr>
            <w:tcW w:w="8568" w:type="dxa"/>
            <w:gridSpan w:val="4"/>
            <w:shd w:val="clear" w:color="auto" w:fill="8DB3E2" w:themeFill="text2" w:themeFillTint="66"/>
            <w:noWrap/>
            <w:hideMark/>
          </w:tcPr>
          <w:p w:rsidR="00D53346" w:rsidRDefault="00D53346" w:rsidP="007F17CD">
            <w:pPr>
              <w:jc w:val="center"/>
              <w:rPr>
                <w:b/>
                <w:bCs/>
                <w:sz w:val="24"/>
                <w:szCs w:val="24"/>
              </w:rPr>
            </w:pPr>
            <w:r>
              <w:rPr>
                <w:b/>
                <w:sz w:val="24"/>
                <w:szCs w:val="24"/>
                <w:u w:val="single"/>
              </w:rPr>
              <w:br w:type="page"/>
            </w:r>
          </w:p>
          <w:p w:rsidR="00D53346" w:rsidRPr="002D14EF" w:rsidRDefault="00D53346" w:rsidP="00B879A6">
            <w:pPr>
              <w:jc w:val="center"/>
              <w:rPr>
                <w:b/>
                <w:bCs/>
                <w:sz w:val="24"/>
                <w:szCs w:val="24"/>
              </w:rPr>
            </w:pPr>
            <w:r w:rsidRPr="002D14EF">
              <w:rPr>
                <w:b/>
                <w:bCs/>
                <w:sz w:val="24"/>
                <w:szCs w:val="24"/>
              </w:rPr>
              <w:t>DC General Replacement Budget-</w:t>
            </w:r>
            <w:r w:rsidR="00B879A6">
              <w:rPr>
                <w:b/>
                <w:bCs/>
                <w:sz w:val="24"/>
                <w:szCs w:val="24"/>
              </w:rPr>
              <w:t xml:space="preserve"> District-Owned Sites</w:t>
            </w:r>
            <w:r w:rsidRPr="002D14EF">
              <w:rPr>
                <w:b/>
                <w:bCs/>
                <w:sz w:val="24"/>
                <w:szCs w:val="24"/>
              </w:rPr>
              <w:t xml:space="preserve"> (40-50 units)</w:t>
            </w:r>
          </w:p>
        </w:tc>
      </w:tr>
      <w:tr w:rsidR="00360205" w:rsidRPr="002D14EF" w:rsidTr="009D7112">
        <w:trPr>
          <w:trHeight w:val="675"/>
        </w:trPr>
        <w:tc>
          <w:tcPr>
            <w:tcW w:w="2518" w:type="dxa"/>
            <w:hideMark/>
          </w:tcPr>
          <w:p w:rsidR="00360205" w:rsidRPr="000324C3" w:rsidRDefault="0045698F" w:rsidP="007F17CD">
            <w:pPr>
              <w:jc w:val="center"/>
              <w:rPr>
                <w:b/>
                <w:bCs/>
                <w:sz w:val="24"/>
                <w:szCs w:val="24"/>
              </w:rPr>
            </w:pPr>
            <w:r w:rsidRPr="004644EF">
              <w:rPr>
                <w:b/>
                <w:bCs/>
                <w:sz w:val="24"/>
                <w:szCs w:val="24"/>
              </w:rPr>
              <w:t xml:space="preserve">Type of </w:t>
            </w:r>
            <w:r>
              <w:rPr>
                <w:b/>
                <w:bCs/>
                <w:sz w:val="24"/>
                <w:szCs w:val="24"/>
              </w:rPr>
              <w:t xml:space="preserve">Annual </w:t>
            </w:r>
            <w:r w:rsidRPr="004644EF">
              <w:rPr>
                <w:b/>
                <w:bCs/>
                <w:sz w:val="24"/>
                <w:szCs w:val="24"/>
              </w:rPr>
              <w:t>Cost</w:t>
            </w:r>
            <w:r>
              <w:rPr>
                <w:b/>
                <w:bCs/>
                <w:sz w:val="24"/>
                <w:szCs w:val="24"/>
              </w:rPr>
              <w:t xml:space="preserve"> (Per Building)</w:t>
            </w:r>
          </w:p>
        </w:tc>
        <w:tc>
          <w:tcPr>
            <w:tcW w:w="2137" w:type="dxa"/>
            <w:hideMark/>
          </w:tcPr>
          <w:p w:rsidR="00360205" w:rsidRPr="000324C3" w:rsidRDefault="00360205" w:rsidP="007F17CD">
            <w:pPr>
              <w:jc w:val="center"/>
              <w:rPr>
                <w:b/>
                <w:bCs/>
                <w:sz w:val="24"/>
                <w:szCs w:val="24"/>
              </w:rPr>
            </w:pPr>
            <w:r w:rsidRPr="000324C3">
              <w:rPr>
                <w:b/>
                <w:bCs/>
                <w:sz w:val="24"/>
                <w:szCs w:val="24"/>
              </w:rPr>
              <w:t>Description</w:t>
            </w:r>
          </w:p>
        </w:tc>
        <w:tc>
          <w:tcPr>
            <w:tcW w:w="1933" w:type="dxa"/>
            <w:hideMark/>
          </w:tcPr>
          <w:p w:rsidR="00360205" w:rsidRDefault="00360205" w:rsidP="007F17CD">
            <w:pPr>
              <w:jc w:val="center"/>
              <w:rPr>
                <w:b/>
                <w:bCs/>
                <w:sz w:val="24"/>
                <w:szCs w:val="24"/>
              </w:rPr>
            </w:pPr>
            <w:r w:rsidRPr="000324C3">
              <w:rPr>
                <w:b/>
                <w:bCs/>
                <w:sz w:val="24"/>
                <w:szCs w:val="24"/>
              </w:rPr>
              <w:t xml:space="preserve">One-Time Costs </w:t>
            </w:r>
          </w:p>
          <w:p w:rsidR="000D64E0" w:rsidRPr="000324C3" w:rsidRDefault="000D64E0" w:rsidP="007F17CD">
            <w:pPr>
              <w:jc w:val="center"/>
              <w:rPr>
                <w:b/>
                <w:bCs/>
                <w:sz w:val="24"/>
                <w:szCs w:val="24"/>
              </w:rPr>
            </w:pPr>
            <w:r>
              <w:rPr>
                <w:b/>
                <w:bCs/>
                <w:sz w:val="24"/>
                <w:szCs w:val="24"/>
              </w:rPr>
              <w:t>(Per Building)</w:t>
            </w:r>
          </w:p>
        </w:tc>
        <w:tc>
          <w:tcPr>
            <w:tcW w:w="1980" w:type="dxa"/>
            <w:hideMark/>
          </w:tcPr>
          <w:p w:rsidR="0045698F" w:rsidRDefault="0045698F" w:rsidP="0045698F">
            <w:pPr>
              <w:jc w:val="center"/>
              <w:rPr>
                <w:b/>
                <w:bCs/>
                <w:sz w:val="24"/>
                <w:szCs w:val="24"/>
              </w:rPr>
            </w:pPr>
            <w:r>
              <w:rPr>
                <w:b/>
                <w:bCs/>
                <w:sz w:val="24"/>
                <w:szCs w:val="24"/>
              </w:rPr>
              <w:t xml:space="preserve">Annual </w:t>
            </w:r>
            <w:r w:rsidR="00595241">
              <w:rPr>
                <w:b/>
                <w:bCs/>
                <w:sz w:val="24"/>
                <w:szCs w:val="24"/>
              </w:rPr>
              <w:t xml:space="preserve">Operating </w:t>
            </w:r>
            <w:r>
              <w:rPr>
                <w:b/>
                <w:bCs/>
                <w:sz w:val="24"/>
                <w:szCs w:val="24"/>
              </w:rPr>
              <w:t>Costs</w:t>
            </w:r>
          </w:p>
          <w:p w:rsidR="00360205" w:rsidRPr="000324C3" w:rsidRDefault="0045698F" w:rsidP="0045698F">
            <w:pPr>
              <w:jc w:val="center"/>
              <w:rPr>
                <w:b/>
                <w:bCs/>
                <w:sz w:val="24"/>
                <w:szCs w:val="24"/>
              </w:rPr>
            </w:pPr>
            <w:r>
              <w:rPr>
                <w:b/>
                <w:bCs/>
                <w:sz w:val="24"/>
                <w:szCs w:val="24"/>
              </w:rPr>
              <w:t xml:space="preserve">(Per </w:t>
            </w:r>
            <w:r w:rsidR="000D64E0">
              <w:rPr>
                <w:b/>
                <w:bCs/>
                <w:sz w:val="24"/>
                <w:szCs w:val="24"/>
              </w:rPr>
              <w:t xml:space="preserve">40-50 unit </w:t>
            </w:r>
            <w:r>
              <w:rPr>
                <w:b/>
                <w:bCs/>
                <w:sz w:val="24"/>
                <w:szCs w:val="24"/>
              </w:rPr>
              <w:t>Building)</w:t>
            </w:r>
          </w:p>
        </w:tc>
      </w:tr>
      <w:tr w:rsidR="00360205" w:rsidRPr="002D14EF" w:rsidTr="009D7112">
        <w:trPr>
          <w:trHeight w:val="1250"/>
        </w:trPr>
        <w:tc>
          <w:tcPr>
            <w:tcW w:w="2518" w:type="dxa"/>
            <w:noWrap/>
            <w:hideMark/>
          </w:tcPr>
          <w:p w:rsidR="00855D74" w:rsidRDefault="00360205" w:rsidP="007F17CD">
            <w:pPr>
              <w:rPr>
                <w:b/>
                <w:bCs/>
                <w:sz w:val="24"/>
                <w:szCs w:val="24"/>
              </w:rPr>
            </w:pPr>
            <w:r w:rsidRPr="000324C3">
              <w:rPr>
                <w:b/>
                <w:bCs/>
                <w:sz w:val="24"/>
                <w:szCs w:val="24"/>
              </w:rPr>
              <w:t xml:space="preserve">Facility Costs </w:t>
            </w:r>
          </w:p>
          <w:p w:rsidR="00360205" w:rsidRPr="000324C3" w:rsidRDefault="00360205" w:rsidP="007F17CD">
            <w:pPr>
              <w:rPr>
                <w:b/>
                <w:bCs/>
                <w:sz w:val="24"/>
                <w:szCs w:val="24"/>
              </w:rPr>
            </w:pPr>
            <w:r w:rsidRPr="000324C3">
              <w:rPr>
                <w:sz w:val="24"/>
                <w:szCs w:val="24"/>
              </w:rPr>
              <w:t>(40 -50 units)</w:t>
            </w:r>
          </w:p>
        </w:tc>
        <w:tc>
          <w:tcPr>
            <w:tcW w:w="2137" w:type="dxa"/>
            <w:hideMark/>
          </w:tcPr>
          <w:p w:rsidR="00360205" w:rsidRPr="000324C3" w:rsidRDefault="00360205" w:rsidP="007F17CD">
            <w:pPr>
              <w:rPr>
                <w:sz w:val="24"/>
                <w:szCs w:val="24"/>
              </w:rPr>
            </w:pPr>
            <w:r w:rsidRPr="000324C3">
              <w:rPr>
                <w:sz w:val="24"/>
                <w:szCs w:val="24"/>
              </w:rPr>
              <w:t>Property Management, Utilities and Maintenance</w:t>
            </w:r>
          </w:p>
        </w:tc>
        <w:tc>
          <w:tcPr>
            <w:tcW w:w="1933" w:type="dxa"/>
            <w:hideMark/>
          </w:tcPr>
          <w:p w:rsidR="00360205" w:rsidRPr="000324C3" w:rsidRDefault="0085794E" w:rsidP="000D64E0">
            <w:pPr>
              <w:jc w:val="center"/>
              <w:rPr>
                <w:sz w:val="24"/>
                <w:szCs w:val="24"/>
              </w:rPr>
            </w:pPr>
            <w:r>
              <w:rPr>
                <w:sz w:val="24"/>
                <w:szCs w:val="24"/>
              </w:rPr>
              <w:t>N/A</w:t>
            </w:r>
          </w:p>
        </w:tc>
        <w:tc>
          <w:tcPr>
            <w:tcW w:w="1980" w:type="dxa"/>
            <w:noWrap/>
            <w:hideMark/>
          </w:tcPr>
          <w:p w:rsidR="00360205" w:rsidRPr="000324C3" w:rsidRDefault="00672C8B" w:rsidP="009D7112">
            <w:pPr>
              <w:jc w:val="right"/>
              <w:rPr>
                <w:sz w:val="24"/>
                <w:szCs w:val="24"/>
              </w:rPr>
            </w:pPr>
            <w:r>
              <w:rPr>
                <w:sz w:val="24"/>
                <w:szCs w:val="24"/>
              </w:rPr>
              <w:t>$  8</w:t>
            </w:r>
            <w:r w:rsidR="0085794E">
              <w:rPr>
                <w:sz w:val="24"/>
                <w:szCs w:val="24"/>
              </w:rPr>
              <w:t>0</w:t>
            </w:r>
            <w:r w:rsidR="00360205" w:rsidRPr="000324C3">
              <w:rPr>
                <w:sz w:val="24"/>
                <w:szCs w:val="24"/>
              </w:rPr>
              <w:t>,000</w:t>
            </w:r>
          </w:p>
        </w:tc>
      </w:tr>
      <w:tr w:rsidR="00360205" w:rsidRPr="002D14EF" w:rsidTr="009D7112">
        <w:trPr>
          <w:trHeight w:val="1079"/>
        </w:trPr>
        <w:tc>
          <w:tcPr>
            <w:tcW w:w="2518" w:type="dxa"/>
            <w:noWrap/>
            <w:hideMark/>
          </w:tcPr>
          <w:p w:rsidR="00360205" w:rsidRPr="000324C3" w:rsidRDefault="00360205" w:rsidP="007F17CD">
            <w:pPr>
              <w:rPr>
                <w:b/>
                <w:bCs/>
                <w:sz w:val="24"/>
                <w:szCs w:val="24"/>
              </w:rPr>
            </w:pPr>
            <w:r w:rsidRPr="000324C3">
              <w:rPr>
                <w:b/>
                <w:bCs/>
                <w:sz w:val="24"/>
                <w:szCs w:val="24"/>
              </w:rPr>
              <w:t xml:space="preserve">Program and Operations </w:t>
            </w:r>
          </w:p>
        </w:tc>
        <w:tc>
          <w:tcPr>
            <w:tcW w:w="2137" w:type="dxa"/>
            <w:hideMark/>
          </w:tcPr>
          <w:p w:rsidR="00360205" w:rsidRPr="000324C3" w:rsidRDefault="00360205" w:rsidP="007F17CD">
            <w:pPr>
              <w:rPr>
                <w:sz w:val="24"/>
                <w:szCs w:val="24"/>
              </w:rPr>
            </w:pPr>
            <w:r w:rsidRPr="000324C3">
              <w:rPr>
                <w:sz w:val="24"/>
                <w:szCs w:val="24"/>
              </w:rPr>
              <w:t>Administrative and program staff, food, security</w:t>
            </w:r>
          </w:p>
        </w:tc>
        <w:tc>
          <w:tcPr>
            <w:tcW w:w="1933" w:type="dxa"/>
            <w:hideMark/>
          </w:tcPr>
          <w:p w:rsidR="00360205" w:rsidRPr="000324C3" w:rsidRDefault="0085794E" w:rsidP="000D64E0">
            <w:pPr>
              <w:jc w:val="center"/>
              <w:rPr>
                <w:sz w:val="24"/>
                <w:szCs w:val="24"/>
              </w:rPr>
            </w:pPr>
            <w:r>
              <w:rPr>
                <w:sz w:val="24"/>
                <w:szCs w:val="24"/>
              </w:rPr>
              <w:t>N/A</w:t>
            </w:r>
          </w:p>
        </w:tc>
        <w:tc>
          <w:tcPr>
            <w:tcW w:w="1980" w:type="dxa"/>
            <w:noWrap/>
            <w:hideMark/>
          </w:tcPr>
          <w:p w:rsidR="00360205" w:rsidRPr="000324C3" w:rsidRDefault="00360205" w:rsidP="009D7112">
            <w:pPr>
              <w:jc w:val="right"/>
              <w:rPr>
                <w:b/>
                <w:sz w:val="24"/>
                <w:szCs w:val="24"/>
              </w:rPr>
            </w:pPr>
            <w:r w:rsidRPr="000324C3">
              <w:rPr>
                <w:sz w:val="24"/>
                <w:szCs w:val="24"/>
              </w:rPr>
              <w:t>$ 2,966,000</w:t>
            </w:r>
          </w:p>
        </w:tc>
      </w:tr>
      <w:tr w:rsidR="00672C8B" w:rsidRPr="002D14EF" w:rsidTr="009D7112">
        <w:trPr>
          <w:trHeight w:val="1215"/>
        </w:trPr>
        <w:tc>
          <w:tcPr>
            <w:tcW w:w="2518" w:type="dxa"/>
            <w:noWrap/>
          </w:tcPr>
          <w:p w:rsidR="00672C8B" w:rsidRPr="000324C3" w:rsidRDefault="00672C8B" w:rsidP="004644EF">
            <w:pPr>
              <w:rPr>
                <w:b/>
                <w:bCs/>
                <w:sz w:val="24"/>
                <w:szCs w:val="24"/>
              </w:rPr>
            </w:pPr>
            <w:r>
              <w:rPr>
                <w:b/>
                <w:bCs/>
                <w:sz w:val="24"/>
                <w:szCs w:val="24"/>
              </w:rPr>
              <w:t>Construction</w:t>
            </w:r>
          </w:p>
        </w:tc>
        <w:tc>
          <w:tcPr>
            <w:tcW w:w="2137" w:type="dxa"/>
          </w:tcPr>
          <w:p w:rsidR="00672C8B" w:rsidRPr="000324C3" w:rsidRDefault="00781655" w:rsidP="00781655">
            <w:pPr>
              <w:rPr>
                <w:sz w:val="24"/>
                <w:szCs w:val="24"/>
              </w:rPr>
            </w:pPr>
            <w:r w:rsidRPr="000324C3">
              <w:rPr>
                <w:sz w:val="24"/>
                <w:szCs w:val="24"/>
              </w:rPr>
              <w:t>Construction</w:t>
            </w:r>
            <w:r>
              <w:rPr>
                <w:sz w:val="24"/>
                <w:szCs w:val="24"/>
              </w:rPr>
              <w:t>, including demolition and build out</w:t>
            </w:r>
          </w:p>
        </w:tc>
        <w:tc>
          <w:tcPr>
            <w:tcW w:w="1933" w:type="dxa"/>
          </w:tcPr>
          <w:p w:rsidR="00672C8B" w:rsidRPr="000324C3" w:rsidRDefault="00672C8B" w:rsidP="009D7112">
            <w:pPr>
              <w:jc w:val="right"/>
              <w:rPr>
                <w:sz w:val="24"/>
                <w:szCs w:val="24"/>
              </w:rPr>
            </w:pPr>
            <w:r w:rsidRPr="000324C3">
              <w:rPr>
                <w:sz w:val="24"/>
                <w:szCs w:val="24"/>
              </w:rPr>
              <w:t> $ 8,000</w:t>
            </w:r>
            <w:r>
              <w:rPr>
                <w:sz w:val="24"/>
                <w:szCs w:val="24"/>
              </w:rPr>
              <w:t>,</w:t>
            </w:r>
            <w:r w:rsidRPr="000324C3">
              <w:rPr>
                <w:sz w:val="24"/>
                <w:szCs w:val="24"/>
              </w:rPr>
              <w:t>00</w:t>
            </w:r>
            <w:r>
              <w:rPr>
                <w:sz w:val="24"/>
                <w:szCs w:val="24"/>
              </w:rPr>
              <w:t>0</w:t>
            </w:r>
          </w:p>
        </w:tc>
        <w:tc>
          <w:tcPr>
            <w:tcW w:w="1980" w:type="dxa"/>
            <w:noWrap/>
          </w:tcPr>
          <w:p w:rsidR="00672C8B" w:rsidRPr="000324C3" w:rsidRDefault="00595241" w:rsidP="009D7112">
            <w:pPr>
              <w:jc w:val="center"/>
              <w:rPr>
                <w:sz w:val="24"/>
                <w:szCs w:val="24"/>
              </w:rPr>
            </w:pPr>
            <w:r>
              <w:rPr>
                <w:sz w:val="24"/>
                <w:szCs w:val="24"/>
              </w:rPr>
              <w:t>N/A</w:t>
            </w:r>
          </w:p>
        </w:tc>
      </w:tr>
      <w:tr w:rsidR="000D64E0" w:rsidRPr="000324C3" w:rsidTr="009D7112">
        <w:trPr>
          <w:trHeight w:val="450"/>
        </w:trPr>
        <w:tc>
          <w:tcPr>
            <w:tcW w:w="4655" w:type="dxa"/>
            <w:gridSpan w:val="2"/>
            <w:noWrap/>
          </w:tcPr>
          <w:p w:rsidR="000D64E0" w:rsidRPr="00672C8B" w:rsidRDefault="000D64E0" w:rsidP="000D64E0">
            <w:pPr>
              <w:jc w:val="right"/>
              <w:rPr>
                <w:b/>
                <w:bCs/>
                <w:sz w:val="24"/>
                <w:szCs w:val="24"/>
              </w:rPr>
            </w:pPr>
            <w:r>
              <w:rPr>
                <w:b/>
                <w:bCs/>
                <w:sz w:val="24"/>
                <w:szCs w:val="24"/>
              </w:rPr>
              <w:t>Total One-Time Costs Per Building</w:t>
            </w:r>
          </w:p>
        </w:tc>
        <w:tc>
          <w:tcPr>
            <w:tcW w:w="1933" w:type="dxa"/>
          </w:tcPr>
          <w:p w:rsidR="000D64E0" w:rsidRPr="00672C8B" w:rsidRDefault="000D64E0" w:rsidP="009D7112">
            <w:pPr>
              <w:jc w:val="right"/>
              <w:rPr>
                <w:b/>
                <w:bCs/>
                <w:sz w:val="24"/>
                <w:szCs w:val="24"/>
              </w:rPr>
            </w:pPr>
            <w:r>
              <w:rPr>
                <w:b/>
                <w:bCs/>
                <w:sz w:val="24"/>
                <w:szCs w:val="24"/>
              </w:rPr>
              <w:t>$ 8,000,000</w:t>
            </w:r>
          </w:p>
        </w:tc>
        <w:tc>
          <w:tcPr>
            <w:tcW w:w="1980" w:type="dxa"/>
            <w:noWrap/>
          </w:tcPr>
          <w:p w:rsidR="000D64E0" w:rsidRPr="000D64E0" w:rsidRDefault="000D64E0" w:rsidP="009D7112">
            <w:pPr>
              <w:jc w:val="center"/>
              <w:rPr>
                <w:bCs/>
                <w:sz w:val="24"/>
                <w:szCs w:val="24"/>
              </w:rPr>
            </w:pPr>
            <w:r>
              <w:rPr>
                <w:bCs/>
                <w:sz w:val="24"/>
                <w:szCs w:val="24"/>
              </w:rPr>
              <w:t>___</w:t>
            </w:r>
          </w:p>
        </w:tc>
      </w:tr>
      <w:tr w:rsidR="000D64E0" w:rsidRPr="000324C3" w:rsidTr="009D7112">
        <w:trPr>
          <w:trHeight w:val="450"/>
        </w:trPr>
        <w:tc>
          <w:tcPr>
            <w:tcW w:w="4655" w:type="dxa"/>
            <w:gridSpan w:val="2"/>
            <w:noWrap/>
          </w:tcPr>
          <w:p w:rsidR="000D64E0" w:rsidRDefault="000D64E0" w:rsidP="000D64E0">
            <w:pPr>
              <w:jc w:val="right"/>
              <w:rPr>
                <w:b/>
                <w:bCs/>
                <w:sz w:val="24"/>
                <w:szCs w:val="24"/>
              </w:rPr>
            </w:pPr>
            <w:r>
              <w:rPr>
                <w:b/>
                <w:bCs/>
                <w:sz w:val="24"/>
                <w:szCs w:val="24"/>
              </w:rPr>
              <w:t>Total Annual Operating Costs Per Building</w:t>
            </w:r>
          </w:p>
        </w:tc>
        <w:tc>
          <w:tcPr>
            <w:tcW w:w="1933" w:type="dxa"/>
          </w:tcPr>
          <w:p w:rsidR="000D64E0" w:rsidRPr="000D64E0" w:rsidRDefault="000D64E0" w:rsidP="009D7112">
            <w:pPr>
              <w:tabs>
                <w:tab w:val="center" w:pos="813"/>
                <w:tab w:val="right" w:pos="1627"/>
              </w:tabs>
              <w:jc w:val="center"/>
              <w:rPr>
                <w:bCs/>
                <w:sz w:val="24"/>
                <w:szCs w:val="24"/>
              </w:rPr>
            </w:pPr>
            <w:r>
              <w:rPr>
                <w:bCs/>
                <w:sz w:val="24"/>
                <w:szCs w:val="24"/>
              </w:rPr>
              <w:t>___</w:t>
            </w:r>
          </w:p>
        </w:tc>
        <w:tc>
          <w:tcPr>
            <w:tcW w:w="1980" w:type="dxa"/>
            <w:noWrap/>
          </w:tcPr>
          <w:p w:rsidR="000D64E0" w:rsidRPr="00672C8B" w:rsidRDefault="000D64E0" w:rsidP="009D7112">
            <w:pPr>
              <w:jc w:val="right"/>
              <w:rPr>
                <w:b/>
                <w:bCs/>
                <w:sz w:val="24"/>
                <w:szCs w:val="24"/>
              </w:rPr>
            </w:pPr>
            <w:r w:rsidRPr="00672C8B">
              <w:rPr>
                <w:b/>
                <w:bCs/>
                <w:sz w:val="24"/>
                <w:szCs w:val="24"/>
              </w:rPr>
              <w:t>$3,</w:t>
            </w:r>
            <w:r>
              <w:rPr>
                <w:b/>
                <w:bCs/>
                <w:sz w:val="24"/>
                <w:szCs w:val="24"/>
              </w:rPr>
              <w:t>04</w:t>
            </w:r>
            <w:r w:rsidRPr="00672C8B">
              <w:rPr>
                <w:b/>
                <w:bCs/>
                <w:sz w:val="24"/>
                <w:szCs w:val="24"/>
              </w:rPr>
              <w:t>6,000</w:t>
            </w:r>
          </w:p>
        </w:tc>
      </w:tr>
      <w:tr w:rsidR="000D64E0" w:rsidRPr="000324C3" w:rsidTr="009D7112">
        <w:trPr>
          <w:trHeight w:val="450"/>
        </w:trPr>
        <w:tc>
          <w:tcPr>
            <w:tcW w:w="4655" w:type="dxa"/>
            <w:gridSpan w:val="2"/>
            <w:noWrap/>
          </w:tcPr>
          <w:p w:rsidR="000D64E0" w:rsidRPr="00672C8B" w:rsidRDefault="000D64E0" w:rsidP="000D64E0">
            <w:pPr>
              <w:jc w:val="right"/>
              <w:rPr>
                <w:b/>
                <w:bCs/>
                <w:sz w:val="24"/>
                <w:szCs w:val="24"/>
              </w:rPr>
            </w:pPr>
            <w:r>
              <w:rPr>
                <w:b/>
                <w:bCs/>
                <w:sz w:val="24"/>
                <w:szCs w:val="24"/>
              </w:rPr>
              <w:t>Total One-Time Costs For 6 Buildings</w:t>
            </w:r>
          </w:p>
        </w:tc>
        <w:tc>
          <w:tcPr>
            <w:tcW w:w="1933" w:type="dxa"/>
          </w:tcPr>
          <w:p w:rsidR="000D64E0" w:rsidRPr="000D64E0" w:rsidRDefault="000D64E0" w:rsidP="009D7112">
            <w:pPr>
              <w:jc w:val="right"/>
              <w:rPr>
                <w:b/>
                <w:bCs/>
                <w:sz w:val="24"/>
                <w:szCs w:val="24"/>
              </w:rPr>
            </w:pPr>
            <w:r w:rsidRPr="000D64E0">
              <w:rPr>
                <w:b/>
                <w:bCs/>
                <w:sz w:val="24"/>
                <w:szCs w:val="24"/>
              </w:rPr>
              <w:t>$</w:t>
            </w:r>
            <w:r w:rsidR="009D7112">
              <w:rPr>
                <w:b/>
                <w:bCs/>
                <w:sz w:val="24"/>
                <w:szCs w:val="24"/>
              </w:rPr>
              <w:t xml:space="preserve"> </w:t>
            </w:r>
            <w:r w:rsidRPr="000D64E0">
              <w:rPr>
                <w:b/>
                <w:bCs/>
                <w:sz w:val="24"/>
                <w:szCs w:val="24"/>
              </w:rPr>
              <w:t>48,000,000</w:t>
            </w:r>
          </w:p>
        </w:tc>
        <w:tc>
          <w:tcPr>
            <w:tcW w:w="1980" w:type="dxa"/>
            <w:noWrap/>
          </w:tcPr>
          <w:p w:rsidR="000D64E0" w:rsidRPr="000D64E0" w:rsidRDefault="000D64E0" w:rsidP="009D7112">
            <w:pPr>
              <w:jc w:val="center"/>
              <w:rPr>
                <w:bCs/>
                <w:sz w:val="24"/>
                <w:szCs w:val="24"/>
              </w:rPr>
            </w:pPr>
            <w:r>
              <w:rPr>
                <w:bCs/>
                <w:sz w:val="24"/>
                <w:szCs w:val="24"/>
              </w:rPr>
              <w:t>___</w:t>
            </w:r>
          </w:p>
        </w:tc>
      </w:tr>
      <w:tr w:rsidR="000D64E0" w:rsidRPr="000324C3" w:rsidTr="009D7112">
        <w:trPr>
          <w:trHeight w:val="450"/>
        </w:trPr>
        <w:tc>
          <w:tcPr>
            <w:tcW w:w="4655" w:type="dxa"/>
            <w:gridSpan w:val="2"/>
            <w:noWrap/>
          </w:tcPr>
          <w:p w:rsidR="000D64E0" w:rsidRDefault="000D64E0" w:rsidP="000D64E0">
            <w:pPr>
              <w:jc w:val="right"/>
              <w:rPr>
                <w:b/>
                <w:bCs/>
                <w:sz w:val="24"/>
                <w:szCs w:val="24"/>
              </w:rPr>
            </w:pPr>
            <w:r>
              <w:rPr>
                <w:b/>
                <w:bCs/>
                <w:sz w:val="24"/>
                <w:szCs w:val="24"/>
              </w:rPr>
              <w:t>Total Annual Operating Costs For 6  Buildings</w:t>
            </w:r>
          </w:p>
        </w:tc>
        <w:tc>
          <w:tcPr>
            <w:tcW w:w="1933" w:type="dxa"/>
          </w:tcPr>
          <w:p w:rsidR="000D64E0" w:rsidRPr="000D64E0" w:rsidRDefault="009D7112" w:rsidP="000D64E0">
            <w:pPr>
              <w:jc w:val="center"/>
              <w:rPr>
                <w:bCs/>
                <w:sz w:val="24"/>
                <w:szCs w:val="24"/>
              </w:rPr>
            </w:pPr>
            <w:r>
              <w:rPr>
                <w:bCs/>
                <w:sz w:val="24"/>
                <w:szCs w:val="24"/>
              </w:rPr>
              <w:t>___</w:t>
            </w:r>
          </w:p>
        </w:tc>
        <w:tc>
          <w:tcPr>
            <w:tcW w:w="1980" w:type="dxa"/>
            <w:noWrap/>
          </w:tcPr>
          <w:p w:rsidR="000D64E0" w:rsidRDefault="000D64E0" w:rsidP="009D7112">
            <w:pPr>
              <w:jc w:val="right"/>
              <w:rPr>
                <w:b/>
                <w:bCs/>
                <w:sz w:val="24"/>
                <w:szCs w:val="24"/>
              </w:rPr>
            </w:pPr>
          </w:p>
          <w:p w:rsidR="000D64E0" w:rsidRPr="00672C8B" w:rsidRDefault="000D64E0" w:rsidP="009D7112">
            <w:pPr>
              <w:jc w:val="right"/>
              <w:rPr>
                <w:b/>
                <w:bCs/>
                <w:sz w:val="24"/>
                <w:szCs w:val="24"/>
              </w:rPr>
            </w:pPr>
            <w:r>
              <w:rPr>
                <w:b/>
                <w:bCs/>
                <w:sz w:val="24"/>
                <w:szCs w:val="24"/>
              </w:rPr>
              <w:t>$18,276,000</w:t>
            </w:r>
          </w:p>
        </w:tc>
      </w:tr>
    </w:tbl>
    <w:p w:rsidR="000A3275" w:rsidRDefault="000A3275" w:rsidP="009031CA">
      <w:pPr>
        <w:rPr>
          <w:sz w:val="24"/>
          <w:szCs w:val="24"/>
        </w:rPr>
      </w:pPr>
    </w:p>
    <w:sectPr w:rsidR="000A3275" w:rsidSect="00B63C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BB" w:rsidRDefault="00C62EBB" w:rsidP="00A40E3B">
      <w:pPr>
        <w:spacing w:after="0" w:line="240" w:lineRule="auto"/>
      </w:pPr>
      <w:r>
        <w:separator/>
      </w:r>
    </w:p>
  </w:endnote>
  <w:endnote w:type="continuationSeparator" w:id="0">
    <w:p w:rsidR="00C62EBB" w:rsidRDefault="00C62EBB" w:rsidP="00A4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24260"/>
      <w:docPartObj>
        <w:docPartGallery w:val="Page Numbers (Bottom of Page)"/>
        <w:docPartUnique/>
      </w:docPartObj>
    </w:sdtPr>
    <w:sdtEndPr>
      <w:rPr>
        <w:noProof/>
      </w:rPr>
    </w:sdtEndPr>
    <w:sdtContent>
      <w:p w:rsidR="009031CA" w:rsidRDefault="009031CA">
        <w:pPr>
          <w:pStyle w:val="Footer"/>
          <w:jc w:val="right"/>
        </w:pPr>
        <w:r>
          <w:fldChar w:fldCharType="begin"/>
        </w:r>
        <w:r>
          <w:instrText xml:space="preserve"> PAGE   \* MERGEFORMAT </w:instrText>
        </w:r>
        <w:r>
          <w:fldChar w:fldCharType="separate"/>
        </w:r>
        <w:r w:rsidR="006A1C55">
          <w:rPr>
            <w:noProof/>
          </w:rPr>
          <w:t>6</w:t>
        </w:r>
        <w:r>
          <w:rPr>
            <w:noProof/>
          </w:rPr>
          <w:fldChar w:fldCharType="end"/>
        </w:r>
      </w:p>
    </w:sdtContent>
  </w:sdt>
  <w:p w:rsidR="00F93A09" w:rsidRDefault="00F93A09" w:rsidP="00A70F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BB" w:rsidRDefault="00C62EBB" w:rsidP="00A40E3B">
      <w:pPr>
        <w:spacing w:after="0" w:line="240" w:lineRule="auto"/>
      </w:pPr>
      <w:r>
        <w:separator/>
      </w:r>
    </w:p>
  </w:footnote>
  <w:footnote w:type="continuationSeparator" w:id="0">
    <w:p w:rsidR="00C62EBB" w:rsidRDefault="00C62EBB" w:rsidP="00A40E3B">
      <w:pPr>
        <w:spacing w:after="0" w:line="240" w:lineRule="auto"/>
      </w:pPr>
      <w:r>
        <w:continuationSeparator/>
      </w:r>
    </w:p>
  </w:footnote>
  <w:footnote w:id="1">
    <w:p w:rsidR="0094794D" w:rsidRDefault="0094794D" w:rsidP="0094794D">
      <w:pPr>
        <w:pStyle w:val="FootnoteText"/>
      </w:pPr>
      <w:r>
        <w:rPr>
          <w:rStyle w:val="FootnoteReference"/>
        </w:rPr>
        <w:footnoteRef/>
      </w:r>
      <w:r>
        <w:t xml:space="preserve"> </w:t>
      </w:r>
      <w:r w:rsidR="00A70F10" w:rsidRPr="00A70F10">
        <w:t xml:space="preserve">The HUD mandated “Point-in-Time Count” conducted annually in each January since </w:t>
      </w:r>
      <w:r w:rsidR="00AA4428">
        <w:t>2003</w:t>
      </w:r>
      <w:r w:rsidR="00A70F10" w:rsidRPr="00A70F10">
        <w:t xml:space="preserve"> has never counted a family living outside or in inhabitable situations, including during the recent bitter winter of FY14.</w:t>
      </w:r>
    </w:p>
    <w:p w:rsidR="00A70F10" w:rsidRDefault="00A70F10" w:rsidP="0094794D">
      <w:pPr>
        <w:pStyle w:val="FootnoteText"/>
      </w:pPr>
    </w:p>
  </w:footnote>
  <w:footnote w:id="2">
    <w:p w:rsidR="00A70F10" w:rsidRDefault="0024245C" w:rsidP="00A70F10">
      <w:pPr>
        <w:pStyle w:val="FootnoteText"/>
      </w:pPr>
      <w:r>
        <w:rPr>
          <w:rStyle w:val="FootnoteReference"/>
        </w:rPr>
        <w:footnoteRef/>
      </w:r>
      <w:r>
        <w:t xml:space="preserve"> </w:t>
      </w:r>
      <w:r w:rsidR="00A70F10">
        <w:t xml:space="preserve">Through a partnership between the Community of Hope (COH),Transitional Housing Corporation (THC), </w:t>
      </w:r>
    </w:p>
    <w:p w:rsidR="00A70F10" w:rsidRDefault="00A70F10" w:rsidP="00A70F10">
      <w:pPr>
        <w:pStyle w:val="FootnoteText"/>
      </w:pPr>
      <w:r>
        <w:t xml:space="preserve">the DC Department of Human Services (DHS) and The Community Partnership for the Prevention of </w:t>
      </w:r>
    </w:p>
    <w:p w:rsidR="0024245C" w:rsidRDefault="00A70F10" w:rsidP="00A70F10">
      <w:pPr>
        <w:pStyle w:val="FootnoteText"/>
      </w:pPr>
      <w:r>
        <w:t>Homelessness (TCP) with funding from the Freddie Mac Foundation, the District piloted and then expanded system-wide the use of the evidence</w:t>
      </w:r>
      <w:r w:rsidR="00827985">
        <w:t>-</w:t>
      </w:r>
      <w:r>
        <w:t>informed assessment tool, t</w:t>
      </w:r>
      <w:r w:rsidR="0024245C">
        <w:t>he Service</w:t>
      </w:r>
      <w:r w:rsidR="0024245C" w:rsidRPr="0024245C">
        <w:t xml:space="preserve"> Prioritization Decision Assistance Tool (SPDAT), </w:t>
      </w:r>
      <w:r>
        <w:t xml:space="preserve">which helps families determine the appropriate housing assistance needed to exit shelter.  </w:t>
      </w:r>
    </w:p>
  </w:footnote>
  <w:footnote w:id="3">
    <w:p w:rsidR="00F42535" w:rsidRDefault="00F42535">
      <w:pPr>
        <w:pStyle w:val="FootnoteText"/>
      </w:pPr>
      <w:r>
        <w:rPr>
          <w:rStyle w:val="FootnoteReference"/>
        </w:rPr>
        <w:footnoteRef/>
      </w:r>
      <w:r>
        <w:t xml:space="preserve"> The DC General Shelter is comprised of three buildings -the main building, former cafeteria, and Building 12.</w:t>
      </w:r>
    </w:p>
  </w:footnote>
  <w:footnote w:id="4">
    <w:p w:rsidR="001372F8" w:rsidRDefault="001372F8" w:rsidP="001372F8">
      <w:pPr>
        <w:pStyle w:val="FootnoteText"/>
      </w:pPr>
      <w:r>
        <w:rPr>
          <w:rStyle w:val="FootnoteReference"/>
        </w:rPr>
        <w:footnoteRef/>
      </w:r>
      <w:r>
        <w:t xml:space="preserve"> D.C. Official Code § 4-753.01(d).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A9" w:rsidRPr="00AE601C" w:rsidRDefault="006611BD" w:rsidP="00AE601C">
    <w:pPr>
      <w:pBdr>
        <w:bottom w:val="single" w:sz="4" w:space="1" w:color="auto"/>
      </w:pBdr>
      <w:spacing w:after="0" w:line="240" w:lineRule="auto"/>
      <w:jc w:val="right"/>
      <w:rPr>
        <w:sz w:val="24"/>
        <w:szCs w:val="24"/>
      </w:rPr>
    </w:pPr>
    <w:r>
      <w:rPr>
        <w:sz w:val="24"/>
        <w:szCs w:val="24"/>
      </w:rPr>
      <w:t>October</w:t>
    </w:r>
    <w:r w:rsidR="00AE601C" w:rsidRPr="00AE601C">
      <w:rPr>
        <w:sz w:val="24"/>
        <w:szCs w:val="24"/>
      </w:rPr>
      <w:t xml:space="preserve"> </w:t>
    </w:r>
    <w:r>
      <w:rPr>
        <w:sz w:val="24"/>
        <w:szCs w:val="24"/>
      </w:rPr>
      <w:t>14</w:t>
    </w:r>
    <w:r w:rsidR="00AE601C" w:rsidRPr="00AE601C">
      <w:rPr>
        <w:sz w:val="24"/>
        <w:szCs w:val="24"/>
      </w:rPr>
      <w:t>, 2014</w:t>
    </w:r>
  </w:p>
  <w:p w:rsidR="00F93A09" w:rsidRPr="00B766D8" w:rsidRDefault="00F93A09" w:rsidP="00B766D8">
    <w:pPr>
      <w:pBdr>
        <w:bottom w:val="single" w:sz="4" w:space="1" w:color="auto"/>
      </w:pBdr>
      <w:spacing w:after="0" w:line="240" w:lineRule="auto"/>
      <w:jc w:val="center"/>
      <w:rPr>
        <w:b/>
        <w:color w:val="FF0000"/>
        <w:sz w:val="28"/>
        <w:szCs w:val="28"/>
      </w:rPr>
    </w:pPr>
    <w:r w:rsidRPr="00284F65">
      <w:rPr>
        <w:noProof/>
        <w:sz w:val="40"/>
        <w:szCs w:val="40"/>
      </w:rPr>
      <w:drawing>
        <wp:anchor distT="0" distB="0" distL="114300" distR="114300" simplePos="0" relativeHeight="251662336" behindDoc="0" locked="1" layoutInCell="1" allowOverlap="1" wp14:anchorId="786A58E7" wp14:editId="22E18D22">
          <wp:simplePos x="0" y="0"/>
          <wp:positionH relativeFrom="column">
            <wp:posOffset>-817880</wp:posOffset>
          </wp:positionH>
          <wp:positionV relativeFrom="page">
            <wp:posOffset>343535</wp:posOffset>
          </wp:positionV>
          <wp:extent cx="789940" cy="74803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480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91F"/>
    <w:multiLevelType w:val="multilevel"/>
    <w:tmpl w:val="8BA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460A"/>
    <w:multiLevelType w:val="hybridMultilevel"/>
    <w:tmpl w:val="5654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9459B"/>
    <w:multiLevelType w:val="hybridMultilevel"/>
    <w:tmpl w:val="31D66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327E7"/>
    <w:multiLevelType w:val="hybridMultilevel"/>
    <w:tmpl w:val="32487D6C"/>
    <w:lvl w:ilvl="0" w:tplc="D840C07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D34F3"/>
    <w:multiLevelType w:val="hybridMultilevel"/>
    <w:tmpl w:val="A982555C"/>
    <w:lvl w:ilvl="0" w:tplc="88B63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81F68"/>
    <w:multiLevelType w:val="hybridMultilevel"/>
    <w:tmpl w:val="A7028EBE"/>
    <w:lvl w:ilvl="0" w:tplc="7AF48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83C34"/>
    <w:multiLevelType w:val="hybridMultilevel"/>
    <w:tmpl w:val="A9A6AE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AC73D8"/>
    <w:multiLevelType w:val="hybridMultilevel"/>
    <w:tmpl w:val="2804A8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092105"/>
    <w:multiLevelType w:val="hybridMultilevel"/>
    <w:tmpl w:val="0BE24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45AB3"/>
    <w:multiLevelType w:val="hybridMultilevel"/>
    <w:tmpl w:val="58DA3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F5463"/>
    <w:multiLevelType w:val="hybridMultilevel"/>
    <w:tmpl w:val="2F1CC8BE"/>
    <w:lvl w:ilvl="0" w:tplc="19648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E53E6"/>
    <w:multiLevelType w:val="hybridMultilevel"/>
    <w:tmpl w:val="B2D88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6FC0"/>
    <w:multiLevelType w:val="hybridMultilevel"/>
    <w:tmpl w:val="CCB0F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9"/>
  </w:num>
  <w:num w:numId="5">
    <w:abstractNumId w:val="5"/>
  </w:num>
  <w:num w:numId="6">
    <w:abstractNumId w:val="2"/>
  </w:num>
  <w:num w:numId="7">
    <w:abstractNumId w:val="12"/>
  </w:num>
  <w:num w:numId="8">
    <w:abstractNumId w:val="10"/>
  </w:num>
  <w:num w:numId="9">
    <w:abstractNumId w:val="4"/>
  </w:num>
  <w:num w:numId="10">
    <w:abstractNumId w:val="7"/>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3B"/>
    <w:rsid w:val="00000797"/>
    <w:rsid w:val="00000AFE"/>
    <w:rsid w:val="000063A4"/>
    <w:rsid w:val="00006F1D"/>
    <w:rsid w:val="00010C71"/>
    <w:rsid w:val="00012B6E"/>
    <w:rsid w:val="00022837"/>
    <w:rsid w:val="00026EC5"/>
    <w:rsid w:val="000324C3"/>
    <w:rsid w:val="00034D63"/>
    <w:rsid w:val="000415E2"/>
    <w:rsid w:val="00047221"/>
    <w:rsid w:val="00054A43"/>
    <w:rsid w:val="00061331"/>
    <w:rsid w:val="0006581A"/>
    <w:rsid w:val="00067DE0"/>
    <w:rsid w:val="00077BC7"/>
    <w:rsid w:val="00081FE6"/>
    <w:rsid w:val="00092FCE"/>
    <w:rsid w:val="00096FEC"/>
    <w:rsid w:val="0009773A"/>
    <w:rsid w:val="000A3275"/>
    <w:rsid w:val="000A3EBF"/>
    <w:rsid w:val="000A47D7"/>
    <w:rsid w:val="000B499C"/>
    <w:rsid w:val="000B6AB6"/>
    <w:rsid w:val="000D5351"/>
    <w:rsid w:val="000D58CD"/>
    <w:rsid w:val="000D5CE2"/>
    <w:rsid w:val="000D64E0"/>
    <w:rsid w:val="000E1A1E"/>
    <w:rsid w:val="000E4520"/>
    <w:rsid w:val="000F45E9"/>
    <w:rsid w:val="0010282F"/>
    <w:rsid w:val="00103B4D"/>
    <w:rsid w:val="00111D8C"/>
    <w:rsid w:val="00112B2C"/>
    <w:rsid w:val="00116E14"/>
    <w:rsid w:val="001256C0"/>
    <w:rsid w:val="0013428D"/>
    <w:rsid w:val="00136190"/>
    <w:rsid w:val="001372F8"/>
    <w:rsid w:val="001415ED"/>
    <w:rsid w:val="00142A12"/>
    <w:rsid w:val="00147336"/>
    <w:rsid w:val="00156DCD"/>
    <w:rsid w:val="001623A6"/>
    <w:rsid w:val="001646C9"/>
    <w:rsid w:val="00164FC8"/>
    <w:rsid w:val="0017138C"/>
    <w:rsid w:val="00191B08"/>
    <w:rsid w:val="00193658"/>
    <w:rsid w:val="001A0EB4"/>
    <w:rsid w:val="001A35D3"/>
    <w:rsid w:val="001A5B50"/>
    <w:rsid w:val="001B1182"/>
    <w:rsid w:val="001B19B0"/>
    <w:rsid w:val="001B39D8"/>
    <w:rsid w:val="001B707E"/>
    <w:rsid w:val="001C2AD6"/>
    <w:rsid w:val="001C38AE"/>
    <w:rsid w:val="001D18FB"/>
    <w:rsid w:val="001E06FF"/>
    <w:rsid w:val="001E4CB4"/>
    <w:rsid w:val="001F7789"/>
    <w:rsid w:val="002057C2"/>
    <w:rsid w:val="00207C50"/>
    <w:rsid w:val="00207FBB"/>
    <w:rsid w:val="00210067"/>
    <w:rsid w:val="00222E79"/>
    <w:rsid w:val="00227309"/>
    <w:rsid w:val="00227767"/>
    <w:rsid w:val="00232B75"/>
    <w:rsid w:val="0024245C"/>
    <w:rsid w:val="002429EC"/>
    <w:rsid w:val="00251398"/>
    <w:rsid w:val="00253969"/>
    <w:rsid w:val="00265F47"/>
    <w:rsid w:val="0026716E"/>
    <w:rsid w:val="00270DD1"/>
    <w:rsid w:val="00277467"/>
    <w:rsid w:val="00282EB9"/>
    <w:rsid w:val="00283814"/>
    <w:rsid w:val="00284F65"/>
    <w:rsid w:val="002858BC"/>
    <w:rsid w:val="00287B31"/>
    <w:rsid w:val="002946DA"/>
    <w:rsid w:val="00295F24"/>
    <w:rsid w:val="00297336"/>
    <w:rsid w:val="0029756F"/>
    <w:rsid w:val="002B03DF"/>
    <w:rsid w:val="002B572D"/>
    <w:rsid w:val="002B5E3C"/>
    <w:rsid w:val="002C17D0"/>
    <w:rsid w:val="002C34A9"/>
    <w:rsid w:val="002C470C"/>
    <w:rsid w:val="002C58BC"/>
    <w:rsid w:val="002C653C"/>
    <w:rsid w:val="002D2654"/>
    <w:rsid w:val="002F06E8"/>
    <w:rsid w:val="002F54B5"/>
    <w:rsid w:val="002F591D"/>
    <w:rsid w:val="002F6ADE"/>
    <w:rsid w:val="00304423"/>
    <w:rsid w:val="003229C7"/>
    <w:rsid w:val="003240F2"/>
    <w:rsid w:val="003310C5"/>
    <w:rsid w:val="00333307"/>
    <w:rsid w:val="00344E93"/>
    <w:rsid w:val="003459EF"/>
    <w:rsid w:val="00345AD4"/>
    <w:rsid w:val="003537C8"/>
    <w:rsid w:val="00353A46"/>
    <w:rsid w:val="003546B9"/>
    <w:rsid w:val="00360205"/>
    <w:rsid w:val="003863E0"/>
    <w:rsid w:val="00392AD7"/>
    <w:rsid w:val="003A148B"/>
    <w:rsid w:val="003A45B4"/>
    <w:rsid w:val="003B07FC"/>
    <w:rsid w:val="003C1104"/>
    <w:rsid w:val="003C508B"/>
    <w:rsid w:val="003C5C87"/>
    <w:rsid w:val="003C717B"/>
    <w:rsid w:val="003D0C13"/>
    <w:rsid w:val="003E33FD"/>
    <w:rsid w:val="003E5E07"/>
    <w:rsid w:val="003E7607"/>
    <w:rsid w:val="003E7E88"/>
    <w:rsid w:val="003F0A06"/>
    <w:rsid w:val="003F2F48"/>
    <w:rsid w:val="004060C7"/>
    <w:rsid w:val="004104A9"/>
    <w:rsid w:val="0041250A"/>
    <w:rsid w:val="0042674D"/>
    <w:rsid w:val="00426F64"/>
    <w:rsid w:val="0045629F"/>
    <w:rsid w:val="0045698F"/>
    <w:rsid w:val="004633F1"/>
    <w:rsid w:val="00470376"/>
    <w:rsid w:val="00480D50"/>
    <w:rsid w:val="00483BE1"/>
    <w:rsid w:val="004947D3"/>
    <w:rsid w:val="004A11D9"/>
    <w:rsid w:val="004A5BB1"/>
    <w:rsid w:val="004C7577"/>
    <w:rsid w:val="004D0DE9"/>
    <w:rsid w:val="004D325F"/>
    <w:rsid w:val="004D7E6C"/>
    <w:rsid w:val="004E57CB"/>
    <w:rsid w:val="004F0754"/>
    <w:rsid w:val="004F3A3C"/>
    <w:rsid w:val="004F4A17"/>
    <w:rsid w:val="00500E31"/>
    <w:rsid w:val="0050258F"/>
    <w:rsid w:val="00502A87"/>
    <w:rsid w:val="00506F1C"/>
    <w:rsid w:val="00510669"/>
    <w:rsid w:val="005217EA"/>
    <w:rsid w:val="0052745B"/>
    <w:rsid w:val="00540613"/>
    <w:rsid w:val="00551096"/>
    <w:rsid w:val="00551D92"/>
    <w:rsid w:val="0055382E"/>
    <w:rsid w:val="005702CC"/>
    <w:rsid w:val="005749CE"/>
    <w:rsid w:val="0057693E"/>
    <w:rsid w:val="00587B4C"/>
    <w:rsid w:val="00595241"/>
    <w:rsid w:val="005A53CC"/>
    <w:rsid w:val="005A5A66"/>
    <w:rsid w:val="005B18AA"/>
    <w:rsid w:val="005B462A"/>
    <w:rsid w:val="005B4A24"/>
    <w:rsid w:val="005C3F1B"/>
    <w:rsid w:val="005C4ABE"/>
    <w:rsid w:val="005D079A"/>
    <w:rsid w:val="005D0E22"/>
    <w:rsid w:val="005D19A9"/>
    <w:rsid w:val="005D4DC9"/>
    <w:rsid w:val="005D5FCE"/>
    <w:rsid w:val="005D7866"/>
    <w:rsid w:val="005E341B"/>
    <w:rsid w:val="005F3A16"/>
    <w:rsid w:val="005F45B2"/>
    <w:rsid w:val="006028D0"/>
    <w:rsid w:val="006052E9"/>
    <w:rsid w:val="00611852"/>
    <w:rsid w:val="00621D73"/>
    <w:rsid w:val="00622897"/>
    <w:rsid w:val="006242E2"/>
    <w:rsid w:val="0062582E"/>
    <w:rsid w:val="006309D0"/>
    <w:rsid w:val="00631F7B"/>
    <w:rsid w:val="006418B5"/>
    <w:rsid w:val="00647ACA"/>
    <w:rsid w:val="0065091E"/>
    <w:rsid w:val="00650B7E"/>
    <w:rsid w:val="006611BD"/>
    <w:rsid w:val="00666D74"/>
    <w:rsid w:val="006719BC"/>
    <w:rsid w:val="006722D4"/>
    <w:rsid w:val="00672C8B"/>
    <w:rsid w:val="006760AC"/>
    <w:rsid w:val="00681FB7"/>
    <w:rsid w:val="00683BD4"/>
    <w:rsid w:val="00690BC0"/>
    <w:rsid w:val="006921BB"/>
    <w:rsid w:val="00692497"/>
    <w:rsid w:val="006A098C"/>
    <w:rsid w:val="006A1C55"/>
    <w:rsid w:val="006A4467"/>
    <w:rsid w:val="006B370C"/>
    <w:rsid w:val="006C1087"/>
    <w:rsid w:val="006D003D"/>
    <w:rsid w:val="006F24C2"/>
    <w:rsid w:val="006F4779"/>
    <w:rsid w:val="006F69EE"/>
    <w:rsid w:val="006F7688"/>
    <w:rsid w:val="007057C6"/>
    <w:rsid w:val="00720852"/>
    <w:rsid w:val="00723285"/>
    <w:rsid w:val="00735425"/>
    <w:rsid w:val="007374DE"/>
    <w:rsid w:val="0074108D"/>
    <w:rsid w:val="007414A2"/>
    <w:rsid w:val="00746408"/>
    <w:rsid w:val="0074752D"/>
    <w:rsid w:val="00750DD8"/>
    <w:rsid w:val="00751594"/>
    <w:rsid w:val="00752B34"/>
    <w:rsid w:val="00755209"/>
    <w:rsid w:val="00760E02"/>
    <w:rsid w:val="0076432F"/>
    <w:rsid w:val="007754B4"/>
    <w:rsid w:val="00781655"/>
    <w:rsid w:val="007818EA"/>
    <w:rsid w:val="0078220A"/>
    <w:rsid w:val="00784139"/>
    <w:rsid w:val="00790748"/>
    <w:rsid w:val="007E23DF"/>
    <w:rsid w:val="007F30AC"/>
    <w:rsid w:val="007F58EC"/>
    <w:rsid w:val="00807755"/>
    <w:rsid w:val="0081278B"/>
    <w:rsid w:val="0081687B"/>
    <w:rsid w:val="00816F23"/>
    <w:rsid w:val="00817D97"/>
    <w:rsid w:val="00826C6A"/>
    <w:rsid w:val="00827985"/>
    <w:rsid w:val="008321C0"/>
    <w:rsid w:val="00834CE6"/>
    <w:rsid w:val="00845575"/>
    <w:rsid w:val="008461B1"/>
    <w:rsid w:val="00852654"/>
    <w:rsid w:val="00855D74"/>
    <w:rsid w:val="0085794E"/>
    <w:rsid w:val="00867B2C"/>
    <w:rsid w:val="0088761C"/>
    <w:rsid w:val="008921C5"/>
    <w:rsid w:val="0089384A"/>
    <w:rsid w:val="008C0970"/>
    <w:rsid w:val="008D2412"/>
    <w:rsid w:val="008E3FE2"/>
    <w:rsid w:val="008E475A"/>
    <w:rsid w:val="008E6F03"/>
    <w:rsid w:val="009031CA"/>
    <w:rsid w:val="00905ACF"/>
    <w:rsid w:val="00905CB5"/>
    <w:rsid w:val="00905DFB"/>
    <w:rsid w:val="00911112"/>
    <w:rsid w:val="00912139"/>
    <w:rsid w:val="00913B7B"/>
    <w:rsid w:val="00922753"/>
    <w:rsid w:val="00941B1E"/>
    <w:rsid w:val="00944756"/>
    <w:rsid w:val="0094794D"/>
    <w:rsid w:val="0096115E"/>
    <w:rsid w:val="00970D22"/>
    <w:rsid w:val="00972A52"/>
    <w:rsid w:val="00975191"/>
    <w:rsid w:val="00982D78"/>
    <w:rsid w:val="0098756E"/>
    <w:rsid w:val="009C0DC8"/>
    <w:rsid w:val="009C1803"/>
    <w:rsid w:val="009D1046"/>
    <w:rsid w:val="009D7112"/>
    <w:rsid w:val="009E5757"/>
    <w:rsid w:val="009E720F"/>
    <w:rsid w:val="009F2A45"/>
    <w:rsid w:val="009F4A80"/>
    <w:rsid w:val="009F5872"/>
    <w:rsid w:val="00A114C2"/>
    <w:rsid w:val="00A15952"/>
    <w:rsid w:val="00A21258"/>
    <w:rsid w:val="00A231B6"/>
    <w:rsid w:val="00A25D94"/>
    <w:rsid w:val="00A40E3B"/>
    <w:rsid w:val="00A40F4C"/>
    <w:rsid w:val="00A4593C"/>
    <w:rsid w:val="00A47097"/>
    <w:rsid w:val="00A607DD"/>
    <w:rsid w:val="00A70F10"/>
    <w:rsid w:val="00A7475F"/>
    <w:rsid w:val="00A90BB8"/>
    <w:rsid w:val="00A9348B"/>
    <w:rsid w:val="00A93F7F"/>
    <w:rsid w:val="00A97937"/>
    <w:rsid w:val="00A97F71"/>
    <w:rsid w:val="00AA4428"/>
    <w:rsid w:val="00AA5604"/>
    <w:rsid w:val="00AC0329"/>
    <w:rsid w:val="00AC0377"/>
    <w:rsid w:val="00AC1CFD"/>
    <w:rsid w:val="00AC5F4D"/>
    <w:rsid w:val="00AD0767"/>
    <w:rsid w:val="00AD6281"/>
    <w:rsid w:val="00AD6DA1"/>
    <w:rsid w:val="00AE058E"/>
    <w:rsid w:val="00AE32A4"/>
    <w:rsid w:val="00AE601C"/>
    <w:rsid w:val="00AE75D9"/>
    <w:rsid w:val="00AF075B"/>
    <w:rsid w:val="00AF65E6"/>
    <w:rsid w:val="00B05933"/>
    <w:rsid w:val="00B06BA4"/>
    <w:rsid w:val="00B06BF9"/>
    <w:rsid w:val="00B13D19"/>
    <w:rsid w:val="00B14A3F"/>
    <w:rsid w:val="00B22461"/>
    <w:rsid w:val="00B2278B"/>
    <w:rsid w:val="00B33C23"/>
    <w:rsid w:val="00B35F08"/>
    <w:rsid w:val="00B447E6"/>
    <w:rsid w:val="00B45222"/>
    <w:rsid w:val="00B45F2B"/>
    <w:rsid w:val="00B46289"/>
    <w:rsid w:val="00B52D25"/>
    <w:rsid w:val="00B577EC"/>
    <w:rsid w:val="00B63C06"/>
    <w:rsid w:val="00B665DE"/>
    <w:rsid w:val="00B677ED"/>
    <w:rsid w:val="00B766D8"/>
    <w:rsid w:val="00B81029"/>
    <w:rsid w:val="00B81405"/>
    <w:rsid w:val="00B879A6"/>
    <w:rsid w:val="00B93F49"/>
    <w:rsid w:val="00B94D0A"/>
    <w:rsid w:val="00B96521"/>
    <w:rsid w:val="00BC0267"/>
    <w:rsid w:val="00BC040F"/>
    <w:rsid w:val="00BC5BD4"/>
    <w:rsid w:val="00BC68EA"/>
    <w:rsid w:val="00BD5001"/>
    <w:rsid w:val="00BE065B"/>
    <w:rsid w:val="00BE0FB6"/>
    <w:rsid w:val="00BE611F"/>
    <w:rsid w:val="00BF0E19"/>
    <w:rsid w:val="00C215CB"/>
    <w:rsid w:val="00C22729"/>
    <w:rsid w:val="00C36DB9"/>
    <w:rsid w:val="00C4029D"/>
    <w:rsid w:val="00C40CDA"/>
    <w:rsid w:val="00C45759"/>
    <w:rsid w:val="00C52FC3"/>
    <w:rsid w:val="00C558FB"/>
    <w:rsid w:val="00C57D3C"/>
    <w:rsid w:val="00C60BDE"/>
    <w:rsid w:val="00C618CD"/>
    <w:rsid w:val="00C61E46"/>
    <w:rsid w:val="00C623CB"/>
    <w:rsid w:val="00C62BE8"/>
    <w:rsid w:val="00C62EBB"/>
    <w:rsid w:val="00C63EA9"/>
    <w:rsid w:val="00C64B19"/>
    <w:rsid w:val="00C6595C"/>
    <w:rsid w:val="00C733E2"/>
    <w:rsid w:val="00C84319"/>
    <w:rsid w:val="00C8479D"/>
    <w:rsid w:val="00C85654"/>
    <w:rsid w:val="00C9633A"/>
    <w:rsid w:val="00CB39F7"/>
    <w:rsid w:val="00CB5004"/>
    <w:rsid w:val="00CC1DB2"/>
    <w:rsid w:val="00CE44D1"/>
    <w:rsid w:val="00CE494B"/>
    <w:rsid w:val="00CE5521"/>
    <w:rsid w:val="00CE5D7E"/>
    <w:rsid w:val="00CE6876"/>
    <w:rsid w:val="00CF0D26"/>
    <w:rsid w:val="00D05AFB"/>
    <w:rsid w:val="00D12D31"/>
    <w:rsid w:val="00D13D44"/>
    <w:rsid w:val="00D26629"/>
    <w:rsid w:val="00D26A98"/>
    <w:rsid w:val="00D34F96"/>
    <w:rsid w:val="00D5069B"/>
    <w:rsid w:val="00D50979"/>
    <w:rsid w:val="00D51D99"/>
    <w:rsid w:val="00D53346"/>
    <w:rsid w:val="00D54FDE"/>
    <w:rsid w:val="00D61D1A"/>
    <w:rsid w:val="00D64BAC"/>
    <w:rsid w:val="00D86F59"/>
    <w:rsid w:val="00D877AF"/>
    <w:rsid w:val="00D87C27"/>
    <w:rsid w:val="00DA57F0"/>
    <w:rsid w:val="00DA7810"/>
    <w:rsid w:val="00DB0B2C"/>
    <w:rsid w:val="00DB3A11"/>
    <w:rsid w:val="00DB63D9"/>
    <w:rsid w:val="00DC053D"/>
    <w:rsid w:val="00DC1698"/>
    <w:rsid w:val="00DC2ED8"/>
    <w:rsid w:val="00DC4B43"/>
    <w:rsid w:val="00DD7226"/>
    <w:rsid w:val="00DE3F89"/>
    <w:rsid w:val="00DE42BE"/>
    <w:rsid w:val="00DE5D2C"/>
    <w:rsid w:val="00DE65EE"/>
    <w:rsid w:val="00DE71FC"/>
    <w:rsid w:val="00E00121"/>
    <w:rsid w:val="00E01BFC"/>
    <w:rsid w:val="00E0533F"/>
    <w:rsid w:val="00E1076A"/>
    <w:rsid w:val="00E15FA5"/>
    <w:rsid w:val="00E166FF"/>
    <w:rsid w:val="00E17055"/>
    <w:rsid w:val="00E26A16"/>
    <w:rsid w:val="00E41279"/>
    <w:rsid w:val="00E41993"/>
    <w:rsid w:val="00E57359"/>
    <w:rsid w:val="00E7220F"/>
    <w:rsid w:val="00E72587"/>
    <w:rsid w:val="00E84A57"/>
    <w:rsid w:val="00E84A83"/>
    <w:rsid w:val="00E851CD"/>
    <w:rsid w:val="00E86C1F"/>
    <w:rsid w:val="00EB78C6"/>
    <w:rsid w:val="00EC0743"/>
    <w:rsid w:val="00ED09A2"/>
    <w:rsid w:val="00EE5BE9"/>
    <w:rsid w:val="00F119AA"/>
    <w:rsid w:val="00F1719E"/>
    <w:rsid w:val="00F24792"/>
    <w:rsid w:val="00F32BAF"/>
    <w:rsid w:val="00F33BED"/>
    <w:rsid w:val="00F353E0"/>
    <w:rsid w:val="00F415F4"/>
    <w:rsid w:val="00F42535"/>
    <w:rsid w:val="00F4383F"/>
    <w:rsid w:val="00F44073"/>
    <w:rsid w:val="00F4696B"/>
    <w:rsid w:val="00F618AF"/>
    <w:rsid w:val="00F80990"/>
    <w:rsid w:val="00F835A1"/>
    <w:rsid w:val="00F85CD2"/>
    <w:rsid w:val="00F85D7C"/>
    <w:rsid w:val="00F91E50"/>
    <w:rsid w:val="00F91EA1"/>
    <w:rsid w:val="00F93A09"/>
    <w:rsid w:val="00F96A93"/>
    <w:rsid w:val="00FA365E"/>
    <w:rsid w:val="00FB10CA"/>
    <w:rsid w:val="00FB1F48"/>
    <w:rsid w:val="00FB231B"/>
    <w:rsid w:val="00FB58B7"/>
    <w:rsid w:val="00FB6370"/>
    <w:rsid w:val="00FC1155"/>
    <w:rsid w:val="00FD42DA"/>
    <w:rsid w:val="00FD6E84"/>
    <w:rsid w:val="00FE4F87"/>
    <w:rsid w:val="00FE5569"/>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3B"/>
  </w:style>
  <w:style w:type="paragraph" w:styleId="Footer">
    <w:name w:val="footer"/>
    <w:basedOn w:val="Normal"/>
    <w:link w:val="FooterChar"/>
    <w:uiPriority w:val="99"/>
    <w:unhideWhenUsed/>
    <w:rsid w:val="00A4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3B"/>
  </w:style>
  <w:style w:type="paragraph" w:styleId="ListParagraph">
    <w:name w:val="List Paragraph"/>
    <w:basedOn w:val="Normal"/>
    <w:uiPriority w:val="34"/>
    <w:qFormat/>
    <w:rsid w:val="003F2F48"/>
    <w:pPr>
      <w:ind w:left="720"/>
      <w:contextualSpacing/>
    </w:pPr>
  </w:style>
  <w:style w:type="character" w:styleId="CommentReference">
    <w:name w:val="annotation reference"/>
    <w:basedOn w:val="DefaultParagraphFont"/>
    <w:uiPriority w:val="99"/>
    <w:semiHidden/>
    <w:unhideWhenUsed/>
    <w:rsid w:val="00502A87"/>
    <w:rPr>
      <w:sz w:val="16"/>
      <w:szCs w:val="16"/>
    </w:rPr>
  </w:style>
  <w:style w:type="paragraph" w:styleId="CommentText">
    <w:name w:val="annotation text"/>
    <w:basedOn w:val="Normal"/>
    <w:link w:val="CommentTextChar"/>
    <w:uiPriority w:val="99"/>
    <w:semiHidden/>
    <w:unhideWhenUsed/>
    <w:rsid w:val="00502A87"/>
    <w:pPr>
      <w:spacing w:line="240" w:lineRule="auto"/>
    </w:pPr>
    <w:rPr>
      <w:sz w:val="20"/>
      <w:szCs w:val="20"/>
    </w:rPr>
  </w:style>
  <w:style w:type="character" w:customStyle="1" w:styleId="CommentTextChar">
    <w:name w:val="Comment Text Char"/>
    <w:basedOn w:val="DefaultParagraphFont"/>
    <w:link w:val="CommentText"/>
    <w:uiPriority w:val="99"/>
    <w:semiHidden/>
    <w:rsid w:val="00502A87"/>
    <w:rPr>
      <w:sz w:val="20"/>
      <w:szCs w:val="20"/>
    </w:rPr>
  </w:style>
  <w:style w:type="paragraph" w:styleId="CommentSubject">
    <w:name w:val="annotation subject"/>
    <w:basedOn w:val="CommentText"/>
    <w:next w:val="CommentText"/>
    <w:link w:val="CommentSubjectChar"/>
    <w:uiPriority w:val="99"/>
    <w:semiHidden/>
    <w:unhideWhenUsed/>
    <w:rsid w:val="00502A87"/>
    <w:rPr>
      <w:b/>
      <w:bCs/>
    </w:rPr>
  </w:style>
  <w:style w:type="character" w:customStyle="1" w:styleId="CommentSubjectChar">
    <w:name w:val="Comment Subject Char"/>
    <w:basedOn w:val="CommentTextChar"/>
    <w:link w:val="CommentSubject"/>
    <w:uiPriority w:val="99"/>
    <w:semiHidden/>
    <w:rsid w:val="00502A87"/>
    <w:rPr>
      <w:b/>
      <w:bCs/>
      <w:sz w:val="20"/>
      <w:szCs w:val="20"/>
    </w:rPr>
  </w:style>
  <w:style w:type="paragraph" w:styleId="BalloonText">
    <w:name w:val="Balloon Text"/>
    <w:basedOn w:val="Normal"/>
    <w:link w:val="BalloonTextChar"/>
    <w:uiPriority w:val="99"/>
    <w:semiHidden/>
    <w:unhideWhenUsed/>
    <w:rsid w:val="0050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87"/>
    <w:rPr>
      <w:rFonts w:ascii="Tahoma" w:hAnsi="Tahoma" w:cs="Tahoma"/>
      <w:sz w:val="16"/>
      <w:szCs w:val="16"/>
    </w:rPr>
  </w:style>
  <w:style w:type="paragraph" w:styleId="FootnoteText">
    <w:name w:val="footnote text"/>
    <w:basedOn w:val="Normal"/>
    <w:link w:val="FootnoteTextChar"/>
    <w:uiPriority w:val="99"/>
    <w:unhideWhenUsed/>
    <w:rsid w:val="00B665DE"/>
    <w:pPr>
      <w:spacing w:after="0" w:line="240" w:lineRule="auto"/>
    </w:pPr>
    <w:rPr>
      <w:sz w:val="20"/>
      <w:szCs w:val="20"/>
    </w:rPr>
  </w:style>
  <w:style w:type="character" w:customStyle="1" w:styleId="FootnoteTextChar">
    <w:name w:val="Footnote Text Char"/>
    <w:basedOn w:val="DefaultParagraphFont"/>
    <w:link w:val="FootnoteText"/>
    <w:uiPriority w:val="99"/>
    <w:rsid w:val="00B665DE"/>
    <w:rPr>
      <w:sz w:val="20"/>
      <w:szCs w:val="20"/>
    </w:rPr>
  </w:style>
  <w:style w:type="character" w:styleId="FootnoteReference">
    <w:name w:val="footnote reference"/>
    <w:basedOn w:val="DefaultParagraphFont"/>
    <w:uiPriority w:val="99"/>
    <w:unhideWhenUsed/>
    <w:rsid w:val="00B665DE"/>
    <w:rPr>
      <w:vertAlign w:val="superscript"/>
    </w:rPr>
  </w:style>
  <w:style w:type="character" w:styleId="Hyperlink">
    <w:name w:val="Hyperlink"/>
    <w:basedOn w:val="DefaultParagraphFont"/>
    <w:uiPriority w:val="99"/>
    <w:unhideWhenUsed/>
    <w:rsid w:val="0096115E"/>
    <w:rPr>
      <w:color w:val="0000FF" w:themeColor="hyperlink"/>
      <w:u w:val="single"/>
    </w:rPr>
  </w:style>
  <w:style w:type="table" w:styleId="LightShading-Accent2">
    <w:name w:val="Light Shading Accent 2"/>
    <w:basedOn w:val="TableNormal"/>
    <w:uiPriority w:val="60"/>
    <w:rsid w:val="00DE5D2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816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3B"/>
  </w:style>
  <w:style w:type="paragraph" w:styleId="Footer">
    <w:name w:val="footer"/>
    <w:basedOn w:val="Normal"/>
    <w:link w:val="FooterChar"/>
    <w:uiPriority w:val="99"/>
    <w:unhideWhenUsed/>
    <w:rsid w:val="00A4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3B"/>
  </w:style>
  <w:style w:type="paragraph" w:styleId="ListParagraph">
    <w:name w:val="List Paragraph"/>
    <w:basedOn w:val="Normal"/>
    <w:uiPriority w:val="34"/>
    <w:qFormat/>
    <w:rsid w:val="003F2F48"/>
    <w:pPr>
      <w:ind w:left="720"/>
      <w:contextualSpacing/>
    </w:pPr>
  </w:style>
  <w:style w:type="character" w:styleId="CommentReference">
    <w:name w:val="annotation reference"/>
    <w:basedOn w:val="DefaultParagraphFont"/>
    <w:uiPriority w:val="99"/>
    <w:semiHidden/>
    <w:unhideWhenUsed/>
    <w:rsid w:val="00502A87"/>
    <w:rPr>
      <w:sz w:val="16"/>
      <w:szCs w:val="16"/>
    </w:rPr>
  </w:style>
  <w:style w:type="paragraph" w:styleId="CommentText">
    <w:name w:val="annotation text"/>
    <w:basedOn w:val="Normal"/>
    <w:link w:val="CommentTextChar"/>
    <w:uiPriority w:val="99"/>
    <w:semiHidden/>
    <w:unhideWhenUsed/>
    <w:rsid w:val="00502A87"/>
    <w:pPr>
      <w:spacing w:line="240" w:lineRule="auto"/>
    </w:pPr>
    <w:rPr>
      <w:sz w:val="20"/>
      <w:szCs w:val="20"/>
    </w:rPr>
  </w:style>
  <w:style w:type="character" w:customStyle="1" w:styleId="CommentTextChar">
    <w:name w:val="Comment Text Char"/>
    <w:basedOn w:val="DefaultParagraphFont"/>
    <w:link w:val="CommentText"/>
    <w:uiPriority w:val="99"/>
    <w:semiHidden/>
    <w:rsid w:val="00502A87"/>
    <w:rPr>
      <w:sz w:val="20"/>
      <w:szCs w:val="20"/>
    </w:rPr>
  </w:style>
  <w:style w:type="paragraph" w:styleId="CommentSubject">
    <w:name w:val="annotation subject"/>
    <w:basedOn w:val="CommentText"/>
    <w:next w:val="CommentText"/>
    <w:link w:val="CommentSubjectChar"/>
    <w:uiPriority w:val="99"/>
    <w:semiHidden/>
    <w:unhideWhenUsed/>
    <w:rsid w:val="00502A87"/>
    <w:rPr>
      <w:b/>
      <w:bCs/>
    </w:rPr>
  </w:style>
  <w:style w:type="character" w:customStyle="1" w:styleId="CommentSubjectChar">
    <w:name w:val="Comment Subject Char"/>
    <w:basedOn w:val="CommentTextChar"/>
    <w:link w:val="CommentSubject"/>
    <w:uiPriority w:val="99"/>
    <w:semiHidden/>
    <w:rsid w:val="00502A87"/>
    <w:rPr>
      <w:b/>
      <w:bCs/>
      <w:sz w:val="20"/>
      <w:szCs w:val="20"/>
    </w:rPr>
  </w:style>
  <w:style w:type="paragraph" w:styleId="BalloonText">
    <w:name w:val="Balloon Text"/>
    <w:basedOn w:val="Normal"/>
    <w:link w:val="BalloonTextChar"/>
    <w:uiPriority w:val="99"/>
    <w:semiHidden/>
    <w:unhideWhenUsed/>
    <w:rsid w:val="0050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87"/>
    <w:rPr>
      <w:rFonts w:ascii="Tahoma" w:hAnsi="Tahoma" w:cs="Tahoma"/>
      <w:sz w:val="16"/>
      <w:szCs w:val="16"/>
    </w:rPr>
  </w:style>
  <w:style w:type="paragraph" w:styleId="FootnoteText">
    <w:name w:val="footnote text"/>
    <w:basedOn w:val="Normal"/>
    <w:link w:val="FootnoteTextChar"/>
    <w:uiPriority w:val="99"/>
    <w:unhideWhenUsed/>
    <w:rsid w:val="00B665DE"/>
    <w:pPr>
      <w:spacing w:after="0" w:line="240" w:lineRule="auto"/>
    </w:pPr>
    <w:rPr>
      <w:sz w:val="20"/>
      <w:szCs w:val="20"/>
    </w:rPr>
  </w:style>
  <w:style w:type="character" w:customStyle="1" w:styleId="FootnoteTextChar">
    <w:name w:val="Footnote Text Char"/>
    <w:basedOn w:val="DefaultParagraphFont"/>
    <w:link w:val="FootnoteText"/>
    <w:uiPriority w:val="99"/>
    <w:rsid w:val="00B665DE"/>
    <w:rPr>
      <w:sz w:val="20"/>
      <w:szCs w:val="20"/>
    </w:rPr>
  </w:style>
  <w:style w:type="character" w:styleId="FootnoteReference">
    <w:name w:val="footnote reference"/>
    <w:basedOn w:val="DefaultParagraphFont"/>
    <w:uiPriority w:val="99"/>
    <w:unhideWhenUsed/>
    <w:rsid w:val="00B665DE"/>
    <w:rPr>
      <w:vertAlign w:val="superscript"/>
    </w:rPr>
  </w:style>
  <w:style w:type="character" w:styleId="Hyperlink">
    <w:name w:val="Hyperlink"/>
    <w:basedOn w:val="DefaultParagraphFont"/>
    <w:uiPriority w:val="99"/>
    <w:unhideWhenUsed/>
    <w:rsid w:val="0096115E"/>
    <w:rPr>
      <w:color w:val="0000FF" w:themeColor="hyperlink"/>
      <w:u w:val="single"/>
    </w:rPr>
  </w:style>
  <w:style w:type="table" w:styleId="LightShading-Accent2">
    <w:name w:val="Light Shading Accent 2"/>
    <w:basedOn w:val="TableNormal"/>
    <w:uiPriority w:val="60"/>
    <w:rsid w:val="00DE5D2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816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8512">
      <w:bodyDiv w:val="1"/>
      <w:marLeft w:val="0"/>
      <w:marRight w:val="0"/>
      <w:marTop w:val="0"/>
      <w:marBottom w:val="0"/>
      <w:divBdr>
        <w:top w:val="none" w:sz="0" w:space="0" w:color="auto"/>
        <w:left w:val="none" w:sz="0" w:space="0" w:color="auto"/>
        <w:bottom w:val="none" w:sz="0" w:space="0" w:color="auto"/>
        <w:right w:val="none" w:sz="0" w:space="0" w:color="auto"/>
      </w:divBdr>
      <w:divsChild>
        <w:div w:id="1082800504">
          <w:marLeft w:val="0"/>
          <w:marRight w:val="0"/>
          <w:marTop w:val="0"/>
          <w:marBottom w:val="0"/>
          <w:divBdr>
            <w:top w:val="none" w:sz="0" w:space="0" w:color="auto"/>
            <w:left w:val="none" w:sz="0" w:space="0" w:color="auto"/>
            <w:bottom w:val="none" w:sz="0" w:space="0" w:color="auto"/>
            <w:right w:val="none" w:sz="0" w:space="0" w:color="auto"/>
          </w:divBdr>
          <w:divsChild>
            <w:div w:id="393940714">
              <w:marLeft w:val="0"/>
              <w:marRight w:val="0"/>
              <w:marTop w:val="0"/>
              <w:marBottom w:val="0"/>
              <w:divBdr>
                <w:top w:val="none" w:sz="0" w:space="0" w:color="auto"/>
                <w:left w:val="none" w:sz="0" w:space="0" w:color="auto"/>
                <w:bottom w:val="none" w:sz="0" w:space="0" w:color="auto"/>
                <w:right w:val="none" w:sz="0" w:space="0" w:color="auto"/>
              </w:divBdr>
              <w:divsChild>
                <w:div w:id="1157840083">
                  <w:marLeft w:val="0"/>
                  <w:marRight w:val="0"/>
                  <w:marTop w:val="0"/>
                  <w:marBottom w:val="0"/>
                  <w:divBdr>
                    <w:top w:val="none" w:sz="0" w:space="0" w:color="auto"/>
                    <w:left w:val="none" w:sz="0" w:space="0" w:color="auto"/>
                    <w:bottom w:val="none" w:sz="0" w:space="0" w:color="auto"/>
                    <w:right w:val="none" w:sz="0" w:space="0" w:color="auto"/>
                  </w:divBdr>
                  <w:divsChild>
                    <w:div w:id="1287588246">
                      <w:marLeft w:val="0"/>
                      <w:marRight w:val="0"/>
                      <w:marTop w:val="0"/>
                      <w:marBottom w:val="75"/>
                      <w:divBdr>
                        <w:top w:val="none" w:sz="0" w:space="0" w:color="auto"/>
                        <w:left w:val="none" w:sz="0" w:space="0" w:color="auto"/>
                        <w:bottom w:val="none" w:sz="0" w:space="0" w:color="auto"/>
                        <w:right w:val="none" w:sz="0" w:space="0" w:color="auto"/>
                      </w:divBdr>
                      <w:divsChild>
                        <w:div w:id="1182666268">
                          <w:marLeft w:val="0"/>
                          <w:marRight w:val="0"/>
                          <w:marTop w:val="0"/>
                          <w:marBottom w:val="0"/>
                          <w:divBdr>
                            <w:top w:val="none" w:sz="0" w:space="0" w:color="auto"/>
                            <w:left w:val="none" w:sz="0" w:space="0" w:color="auto"/>
                            <w:bottom w:val="none" w:sz="0" w:space="0" w:color="auto"/>
                            <w:right w:val="none" w:sz="0" w:space="0" w:color="auto"/>
                          </w:divBdr>
                          <w:divsChild>
                            <w:div w:id="85276220">
                              <w:marLeft w:val="0"/>
                              <w:marRight w:val="0"/>
                              <w:marTop w:val="0"/>
                              <w:marBottom w:val="0"/>
                              <w:divBdr>
                                <w:top w:val="none" w:sz="0" w:space="0" w:color="auto"/>
                                <w:left w:val="none" w:sz="0" w:space="0" w:color="auto"/>
                                <w:bottom w:val="none" w:sz="0" w:space="0" w:color="auto"/>
                                <w:right w:val="none" w:sz="0" w:space="0" w:color="auto"/>
                              </w:divBdr>
                              <w:divsChild>
                                <w:div w:id="1081370284">
                                  <w:marLeft w:val="0"/>
                                  <w:marRight w:val="0"/>
                                  <w:marTop w:val="0"/>
                                  <w:marBottom w:val="0"/>
                                  <w:divBdr>
                                    <w:top w:val="none" w:sz="0" w:space="0" w:color="auto"/>
                                    <w:left w:val="none" w:sz="0" w:space="0" w:color="auto"/>
                                    <w:bottom w:val="none" w:sz="0" w:space="0" w:color="auto"/>
                                    <w:right w:val="none" w:sz="0" w:space="0" w:color="auto"/>
                                  </w:divBdr>
                                </w:div>
                                <w:div w:id="17108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4416-3BE8-4E8C-871E-73663CEF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LSH</cp:lastModifiedBy>
  <cp:revision>6</cp:revision>
  <cp:lastPrinted>2014-10-14T17:56:00Z</cp:lastPrinted>
  <dcterms:created xsi:type="dcterms:W3CDTF">2014-10-14T14:25:00Z</dcterms:created>
  <dcterms:modified xsi:type="dcterms:W3CDTF">2014-10-14T19:08:00Z</dcterms:modified>
</cp:coreProperties>
</file>